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8B4" w:rsidRDefault="00040AE3">
      <w:pPr>
        <w:widowControl w:val="0"/>
        <w:autoSpaceDE w:val="0"/>
        <w:autoSpaceDN w:val="0"/>
        <w:spacing w:line="240" w:lineRule="auto"/>
        <w:rPr>
          <w:rFonts w:ascii="Arial" w:hAnsi="Arial" w:cs="Arial"/>
          <w:b/>
          <w:bCs/>
          <w:sz w:val="22"/>
          <w:lang w:val="en-GB"/>
        </w:rPr>
      </w:pPr>
      <w:r>
        <w:rPr>
          <w:rFonts w:ascii="Arial" w:hAnsi="Arial" w:cs="Arial" w:hint="eastAsia"/>
          <w:b/>
          <w:bCs/>
          <w:sz w:val="22"/>
          <w:lang w:val="en-GB"/>
        </w:rPr>
        <w:t>3GPP TSG RAN WG1 Meeting #94bis</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bookmarkStart w:id="0" w:name="OLE_LINK3"/>
      <w:r>
        <w:rPr>
          <w:rFonts w:ascii="Arial" w:hAnsi="Arial" w:cs="Arial" w:hint="eastAsia"/>
          <w:b/>
          <w:bCs/>
          <w:sz w:val="22"/>
          <w:lang w:val="en-GB"/>
        </w:rPr>
        <w:t xml:space="preserve">          </w:t>
      </w:r>
      <w:r>
        <w:rPr>
          <w:rFonts w:ascii="Arial" w:hAnsi="Arial" w:cs="Arial" w:hint="eastAsia"/>
          <w:b/>
          <w:bCs/>
          <w:sz w:val="22"/>
        </w:rPr>
        <w:t xml:space="preserve">          </w:t>
      </w:r>
      <w:r>
        <w:rPr>
          <w:rFonts w:ascii="Arial" w:hAnsi="Arial" w:cs="Arial" w:hint="eastAsia"/>
          <w:b/>
          <w:bCs/>
          <w:sz w:val="22"/>
          <w:lang w:val="en-GB"/>
        </w:rPr>
        <w:t>R1-1810183</w:t>
      </w:r>
      <w:bookmarkEnd w:id="0"/>
    </w:p>
    <w:p w:rsidR="00AB48B4" w:rsidRDefault="00040AE3">
      <w:pPr>
        <w:widowControl w:val="0"/>
        <w:autoSpaceDE w:val="0"/>
        <w:autoSpaceDN w:val="0"/>
        <w:spacing w:line="240" w:lineRule="auto"/>
        <w:rPr>
          <w:rFonts w:ascii="Arial" w:hAnsi="Arial" w:cs="Arial"/>
          <w:b/>
          <w:bCs/>
          <w:sz w:val="22"/>
          <w:lang w:val="en-GB"/>
        </w:rPr>
      </w:pPr>
      <w:r>
        <w:rPr>
          <w:rFonts w:ascii="Arial" w:hAnsi="Arial" w:cs="Arial" w:hint="eastAsia"/>
          <w:b/>
          <w:bCs/>
          <w:sz w:val="22"/>
          <w:lang w:val="en-GB"/>
        </w:rPr>
        <w:t>Chengdu, China, October 8</w:t>
      </w:r>
      <w:r w:rsidRPr="00040AE3">
        <w:rPr>
          <w:rFonts w:ascii="Arial" w:hAnsi="Arial" w:cs="Arial" w:hint="eastAsia"/>
          <w:b/>
          <w:bCs/>
          <w:sz w:val="22"/>
          <w:vertAlign w:val="superscript"/>
          <w:lang w:val="en-GB"/>
        </w:rPr>
        <w:t>th</w:t>
      </w:r>
      <w:r>
        <w:rPr>
          <w:rFonts w:ascii="Arial" w:hAnsi="Arial" w:cs="Arial" w:hint="eastAsia"/>
          <w:b/>
          <w:bCs/>
          <w:sz w:val="22"/>
          <w:lang w:val="en-GB"/>
        </w:rPr>
        <w:t xml:space="preserve"> </w:t>
      </w:r>
      <w:r>
        <w:rPr>
          <w:rFonts w:ascii="Arial" w:hAnsi="Arial" w:cs="Arial" w:hint="eastAsia"/>
          <w:b/>
          <w:bCs/>
          <w:sz w:val="22"/>
          <w:lang w:val="en-GB"/>
        </w:rPr>
        <w:t>–</w:t>
      </w:r>
      <w:r>
        <w:rPr>
          <w:rFonts w:ascii="Arial" w:hAnsi="Arial" w:cs="Arial" w:hint="eastAsia"/>
          <w:b/>
          <w:bCs/>
          <w:sz w:val="22"/>
          <w:lang w:val="en-GB"/>
        </w:rPr>
        <w:t xml:space="preserve"> 12</w:t>
      </w:r>
      <w:r w:rsidRPr="00040AE3">
        <w:rPr>
          <w:rFonts w:ascii="Arial" w:hAnsi="Arial" w:cs="Arial" w:hint="eastAsia"/>
          <w:b/>
          <w:bCs/>
          <w:sz w:val="22"/>
          <w:vertAlign w:val="superscript"/>
          <w:lang w:val="en-GB"/>
        </w:rPr>
        <w:t>th</w:t>
      </w:r>
      <w:r>
        <w:rPr>
          <w:rFonts w:ascii="Arial" w:hAnsi="Arial" w:cs="Arial" w:hint="eastAsia"/>
          <w:b/>
          <w:bCs/>
          <w:sz w:val="22"/>
          <w:lang w:val="en-GB"/>
        </w:rPr>
        <w:t>, 2018</w:t>
      </w:r>
    </w:p>
    <w:p w:rsidR="00AB48B4" w:rsidRDefault="00AB48B4">
      <w:pPr>
        <w:widowControl w:val="0"/>
        <w:autoSpaceDE w:val="0"/>
        <w:autoSpaceDN w:val="0"/>
        <w:spacing w:line="240" w:lineRule="auto"/>
        <w:rPr>
          <w:rFonts w:ascii="Arial" w:hAnsi="Arial" w:cs="Arial"/>
          <w:b/>
          <w:bCs/>
          <w:sz w:val="22"/>
          <w:lang w:val="en-GB"/>
        </w:rPr>
      </w:pPr>
    </w:p>
    <w:p w:rsidR="00AB48B4" w:rsidRDefault="00040AE3">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Source: </w:t>
      </w:r>
      <w:r>
        <w:rPr>
          <w:rFonts w:ascii="Arial" w:hAnsi="Arial" w:cs="Arial" w:hint="eastAsia"/>
          <w:b/>
          <w:bCs/>
          <w:sz w:val="22"/>
          <w:lang w:val="en-GB"/>
        </w:rPr>
        <w:t xml:space="preserve">   </w:t>
      </w:r>
      <w:r>
        <w:rPr>
          <w:rFonts w:ascii="Arial" w:hAnsi="Arial" w:cs="Arial" w:hint="eastAsia"/>
          <w:b/>
          <w:bCs/>
          <w:sz w:val="22"/>
        </w:rPr>
        <w:t xml:space="preserve">    </w:t>
      </w:r>
      <w:r>
        <w:rPr>
          <w:rFonts w:ascii="Arial" w:hAnsi="Arial" w:cs="Arial"/>
          <w:b/>
          <w:bCs/>
          <w:sz w:val="22"/>
          <w:lang w:val="en-GB"/>
        </w:rPr>
        <w:t>ZTE</w:t>
      </w:r>
    </w:p>
    <w:p w:rsidR="00AB48B4" w:rsidRDefault="00040AE3">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 xml:space="preserve">Title: </w:t>
      </w:r>
      <w:r>
        <w:rPr>
          <w:rFonts w:ascii="Arial" w:hAnsi="Arial" w:cs="Arial" w:hint="eastAsia"/>
          <w:b/>
          <w:bCs/>
          <w:sz w:val="22"/>
          <w:lang w:val="en-GB"/>
        </w:rPr>
        <w:t xml:space="preserve">        </w:t>
      </w:r>
      <w:r>
        <w:rPr>
          <w:rFonts w:ascii="Arial" w:hAnsi="Arial" w:cs="Arial" w:hint="eastAsia"/>
          <w:b/>
          <w:bCs/>
          <w:sz w:val="22"/>
        </w:rPr>
        <w:tab/>
      </w:r>
      <w:r>
        <w:rPr>
          <w:rFonts w:ascii="Arial" w:hAnsi="Arial" w:cs="Arial" w:hint="eastAsia"/>
          <w:b/>
          <w:bCs/>
          <w:sz w:val="22"/>
          <w:lang w:val="en-GB"/>
        </w:rPr>
        <w:t xml:space="preserve">Maintenance for Mobility </w:t>
      </w:r>
      <w:r>
        <w:rPr>
          <w:rFonts w:ascii="Arial" w:hAnsi="Arial" w:cs="Arial"/>
          <w:b/>
          <w:bCs/>
          <w:sz w:val="22"/>
          <w:lang w:val="en-GB"/>
        </w:rPr>
        <w:t>P</w:t>
      </w:r>
      <w:r>
        <w:rPr>
          <w:rFonts w:ascii="Arial" w:hAnsi="Arial" w:cs="Arial" w:hint="eastAsia"/>
          <w:b/>
          <w:bCs/>
          <w:sz w:val="22"/>
          <w:lang w:val="en-GB"/>
        </w:rPr>
        <w:t>rocedure</w:t>
      </w:r>
    </w:p>
    <w:p w:rsidR="00AB48B4" w:rsidRDefault="00040AE3">
      <w:pPr>
        <w:widowControl w:val="0"/>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1" w:name="Source"/>
      <w:bookmarkEnd w:id="1"/>
      <w:r>
        <w:rPr>
          <w:rFonts w:ascii="Arial" w:hAnsi="Arial" w:cs="Arial" w:hint="eastAsia"/>
          <w:b/>
          <w:bCs/>
          <w:sz w:val="22"/>
          <w:lang w:val="en-GB"/>
        </w:rPr>
        <w:t xml:space="preserve">  </w:t>
      </w:r>
      <w:r>
        <w:rPr>
          <w:rFonts w:ascii="Arial" w:hAnsi="Arial" w:cs="Arial" w:hint="eastAsia"/>
          <w:b/>
          <w:bCs/>
          <w:sz w:val="22"/>
        </w:rPr>
        <w:tab/>
        <w:t>7.1.1.3</w:t>
      </w:r>
    </w:p>
    <w:p w:rsidR="00AB48B4" w:rsidRDefault="00040AE3">
      <w:pPr>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 xml:space="preserve"> </w:t>
      </w:r>
      <w:r>
        <w:rPr>
          <w:rFonts w:ascii="Arial" w:hAnsi="Arial" w:cs="Arial" w:hint="eastAsia"/>
          <w:b/>
          <w:sz w:val="22"/>
        </w:rPr>
        <w:tab/>
      </w:r>
      <w:r>
        <w:rPr>
          <w:rFonts w:ascii="Arial" w:hAnsi="Arial" w:cs="Arial"/>
          <w:b/>
          <w:sz w:val="22"/>
        </w:rPr>
        <w:t>Discussion and Decision</w:t>
      </w:r>
    </w:p>
    <w:p w:rsidR="00AB48B4" w:rsidRDefault="00040AE3">
      <w:pPr>
        <w:pStyle w:val="1"/>
      </w:pPr>
      <w:r>
        <w:t>Introduction</w:t>
      </w:r>
    </w:p>
    <w:p w:rsidR="00AB48B4" w:rsidRDefault="00040AE3">
      <w:pPr>
        <w:adjustRightInd/>
        <w:snapToGrid w:val="0"/>
        <w:spacing w:before="240" w:after="120"/>
        <w:jc w:val="both"/>
        <w:rPr>
          <w:sz w:val="20"/>
          <w:szCs w:val="20"/>
        </w:rPr>
      </w:pPr>
      <w:r>
        <w:rPr>
          <w:rFonts w:hint="eastAsia"/>
          <w:sz w:val="20"/>
          <w:szCs w:val="20"/>
        </w:rPr>
        <w:t xml:space="preserve">In this contribution, </w:t>
      </w:r>
      <w:r>
        <w:rPr>
          <w:sz w:val="20"/>
          <w:szCs w:val="20"/>
        </w:rPr>
        <w:t xml:space="preserve">we discuss </w:t>
      </w:r>
      <w:r>
        <w:rPr>
          <w:rFonts w:hint="eastAsia"/>
          <w:sz w:val="20"/>
          <w:szCs w:val="20"/>
        </w:rPr>
        <w:t>the remaining details of mobility management for NR, including RRM measurement and RLM.</w:t>
      </w:r>
    </w:p>
    <w:p w:rsidR="00AB48B4" w:rsidRDefault="00040AE3">
      <w:pPr>
        <w:pStyle w:val="1"/>
      </w:pPr>
      <w:r>
        <w:rPr>
          <w:rFonts w:hint="eastAsia"/>
          <w:lang w:val="en-US" w:eastAsia="zh-CN"/>
        </w:rPr>
        <w:t>RRM</w:t>
      </w:r>
    </w:p>
    <w:p w:rsidR="00AB48B4" w:rsidRDefault="00040AE3">
      <w:pPr>
        <w:pStyle w:val="2"/>
        <w:rPr>
          <w:lang w:val="en-US" w:eastAsia="zh-CN"/>
        </w:rPr>
      </w:pPr>
      <w:r>
        <w:rPr>
          <w:rFonts w:hint="eastAsia"/>
          <w:lang w:val="en-US" w:eastAsia="zh-CN"/>
        </w:rPr>
        <w:t>RRM measurements for SCells without SSB</w:t>
      </w:r>
    </w:p>
    <w:p w:rsidR="00AB48B4" w:rsidRDefault="00040AE3">
      <w:pPr>
        <w:adjustRightInd/>
        <w:snapToGrid w:val="0"/>
        <w:spacing w:after="120"/>
        <w:jc w:val="both"/>
        <w:rPr>
          <w:sz w:val="20"/>
          <w:szCs w:val="20"/>
        </w:rPr>
      </w:pPr>
      <w:r>
        <w:rPr>
          <w:rFonts w:hint="eastAsia"/>
          <w:sz w:val="20"/>
          <w:szCs w:val="20"/>
        </w:rPr>
        <w:t>At last meeting, measurement on SCells without SSB was discussed</w:t>
      </w:r>
      <w:r w:rsidR="007401EB">
        <w:rPr>
          <w:sz w:val="20"/>
          <w:szCs w:val="20"/>
        </w:rPr>
        <w:t>[1]</w:t>
      </w:r>
      <w:r>
        <w:rPr>
          <w:rFonts w:hint="eastAsia"/>
          <w:sz w:val="20"/>
          <w:szCs w:val="20"/>
        </w:rPr>
        <w:t xml:space="preserve"> and there are two possible solutions for SSB-less SCell measurement in co</w:t>
      </w:r>
      <w:r>
        <w:rPr>
          <w:sz w:val="20"/>
          <w:szCs w:val="20"/>
        </w:rPr>
        <w:t>-</w:t>
      </w:r>
      <w:r>
        <w:rPr>
          <w:rFonts w:hint="eastAsia"/>
          <w:sz w:val="20"/>
          <w:szCs w:val="20"/>
        </w:rPr>
        <w:t xml:space="preserve">located deployment of carrier aggregation. One is only </w:t>
      </w:r>
      <w:r w:rsidR="007401EB">
        <w:rPr>
          <w:rFonts w:hint="eastAsia"/>
          <w:sz w:val="20"/>
          <w:szCs w:val="20"/>
        </w:rPr>
        <w:t xml:space="preserve">to </w:t>
      </w:r>
      <w:r>
        <w:rPr>
          <w:rFonts w:hint="eastAsia"/>
          <w:sz w:val="20"/>
          <w:szCs w:val="20"/>
        </w:rPr>
        <w:t xml:space="preserve">do SS-RSSI for the SSB-less SCell while reuse SS-RSRP of other cells within the same band. The benefit is that CSI-RS for L3 mobility is not required for SSB-less SCell, which can save RS overhead. However, it will bring some other problems on SS-RSSI and SS-SINR measurement due to lack of SSB. First, it is necessary to define a new SS-RSSI measurement resource for SSB-less SCell, which will bring more standard efforts, </w:t>
      </w:r>
      <w:r>
        <w:rPr>
          <w:sz w:val="20"/>
          <w:szCs w:val="20"/>
        </w:rPr>
        <w:t xml:space="preserve">this should be avoided </w:t>
      </w:r>
      <w:r>
        <w:rPr>
          <w:rFonts w:hint="eastAsia"/>
          <w:sz w:val="20"/>
          <w:szCs w:val="20"/>
        </w:rPr>
        <w:t xml:space="preserve">especially at this </w:t>
      </w:r>
      <w:r>
        <w:rPr>
          <w:sz w:val="20"/>
          <w:szCs w:val="20"/>
        </w:rPr>
        <w:t xml:space="preserve">standardization </w:t>
      </w:r>
      <w:r>
        <w:rPr>
          <w:rFonts w:hint="eastAsia"/>
          <w:sz w:val="20"/>
          <w:szCs w:val="20"/>
        </w:rPr>
        <w:t>stage. Second, besides SS-RSRP and SS-RSRQ, SS-SINR is also an important metric for HO decision. For SSB-less SCell, interference and noise as well as SS-SINR can</w:t>
      </w:r>
      <w:r>
        <w:rPr>
          <w:sz w:val="20"/>
          <w:szCs w:val="20"/>
        </w:rPr>
        <w:t>’</w:t>
      </w:r>
      <w:r>
        <w:rPr>
          <w:rFonts w:hint="eastAsia"/>
          <w:sz w:val="20"/>
          <w:szCs w:val="20"/>
        </w:rPr>
        <w:t xml:space="preserve">t </w:t>
      </w:r>
      <w:r>
        <w:rPr>
          <w:sz w:val="20"/>
          <w:szCs w:val="20"/>
        </w:rPr>
        <w:t>be gotten</w:t>
      </w:r>
      <w:r>
        <w:rPr>
          <w:rFonts w:hint="eastAsia"/>
          <w:sz w:val="20"/>
          <w:szCs w:val="20"/>
        </w:rPr>
        <w:t xml:space="preserve"> unless a dedicated RS is configured. However, a dedicated RS is </w:t>
      </w:r>
      <w:r w:rsidR="007401EB">
        <w:rPr>
          <w:sz w:val="20"/>
          <w:szCs w:val="20"/>
        </w:rPr>
        <w:t>needed</w:t>
      </w:r>
      <w:r>
        <w:rPr>
          <w:rFonts w:hint="eastAsia"/>
          <w:sz w:val="20"/>
          <w:szCs w:val="20"/>
        </w:rPr>
        <w:t xml:space="preserve"> for interference and noise measurement for SS-SINR, </w:t>
      </w:r>
      <w:r w:rsidR="007401EB">
        <w:rPr>
          <w:sz w:val="20"/>
          <w:szCs w:val="20"/>
        </w:rPr>
        <w:t xml:space="preserve">as </w:t>
      </w:r>
      <w:r>
        <w:rPr>
          <w:sz w:val="20"/>
          <w:szCs w:val="20"/>
        </w:rPr>
        <w:t>additional overhead is not expected</w:t>
      </w:r>
      <w:r w:rsidR="007401EB" w:rsidRPr="007401EB">
        <w:rPr>
          <w:sz w:val="20"/>
          <w:szCs w:val="20"/>
        </w:rPr>
        <w:t xml:space="preserve"> </w:t>
      </w:r>
      <w:r w:rsidR="007401EB">
        <w:rPr>
          <w:sz w:val="20"/>
          <w:szCs w:val="20"/>
        </w:rPr>
        <w:t xml:space="preserve">from the original intention, </w:t>
      </w:r>
      <w:r>
        <w:rPr>
          <w:rFonts w:hint="eastAsia"/>
          <w:sz w:val="20"/>
          <w:szCs w:val="20"/>
        </w:rPr>
        <w:t>the benefit of th</w:t>
      </w:r>
      <w:r w:rsidR="007401EB">
        <w:rPr>
          <w:sz w:val="20"/>
          <w:szCs w:val="20"/>
        </w:rPr>
        <w:t>is</w:t>
      </w:r>
      <w:r>
        <w:rPr>
          <w:rFonts w:hint="eastAsia"/>
          <w:sz w:val="20"/>
          <w:szCs w:val="20"/>
        </w:rPr>
        <w:t xml:space="preserve"> solution </w:t>
      </w:r>
      <w:r w:rsidR="007401EB">
        <w:rPr>
          <w:sz w:val="20"/>
          <w:szCs w:val="20"/>
        </w:rPr>
        <w:t>isn’t</w:t>
      </w:r>
      <w:r>
        <w:rPr>
          <w:rFonts w:hint="eastAsia"/>
          <w:sz w:val="20"/>
          <w:szCs w:val="20"/>
        </w:rPr>
        <w:t xml:space="preserve"> prominent. </w:t>
      </w:r>
    </w:p>
    <w:p w:rsidR="00AB48B4" w:rsidRDefault="00040AE3">
      <w:pPr>
        <w:adjustRightInd/>
        <w:snapToGrid w:val="0"/>
        <w:spacing w:after="120"/>
        <w:jc w:val="both"/>
        <w:rPr>
          <w:sz w:val="20"/>
          <w:szCs w:val="20"/>
        </w:rPr>
      </w:pPr>
      <w:r>
        <w:rPr>
          <w:rFonts w:hint="eastAsia"/>
          <w:sz w:val="20"/>
          <w:szCs w:val="20"/>
        </w:rPr>
        <w:t xml:space="preserve">The other solution is to disable Scell RRM measurement, i.e. network will not configure RRM measurement on SSB-less SCell. In this case, UE will not perform any measurement on the carrier. It should be noted that RAN4 has agreed that NR supports to configure enabling/disabling intra-frequency measurement on each NR SCell frequency layer, including both serving cell and neighbor cells[2]. It will reduce the measurement overhead and power consumption for UE, signaling overhead and possible interrupt time of DL/UL data due to scheduling restrictions. Therefore, </w:t>
      </w:r>
      <w:bookmarkStart w:id="3" w:name="OLE_LINK7"/>
      <w:r>
        <w:rPr>
          <w:rFonts w:hint="eastAsia"/>
          <w:sz w:val="20"/>
          <w:szCs w:val="20"/>
        </w:rPr>
        <w:t>disabling RRM measurement is more preferable for SSB-less SCell</w:t>
      </w:r>
      <w:bookmarkEnd w:id="3"/>
      <w:r>
        <w:rPr>
          <w:rFonts w:hint="eastAsia"/>
          <w:sz w:val="20"/>
          <w:szCs w:val="20"/>
        </w:rPr>
        <w:t xml:space="preserve">. If network want to enable RRM measurement of SSB-less SCell, CSI-RS based RRM measurement can be adopted. </w:t>
      </w:r>
    </w:p>
    <w:p w:rsidR="00AB48B4" w:rsidRDefault="00040AE3">
      <w:pPr>
        <w:adjustRightInd/>
        <w:snapToGrid w:val="0"/>
        <w:spacing w:after="120"/>
        <w:jc w:val="both"/>
        <w:rPr>
          <w:sz w:val="20"/>
          <w:szCs w:val="20"/>
        </w:rPr>
      </w:pPr>
      <w:r>
        <w:rPr>
          <w:rFonts w:hint="eastAsia"/>
          <w:b/>
          <w:i/>
          <w:sz w:val="20"/>
          <w:szCs w:val="20"/>
        </w:rPr>
        <w:t xml:space="preserve">Proposal 1: Disabling RRM measurement is more preferable for SSB-less SCell. </w:t>
      </w:r>
    </w:p>
    <w:p w:rsidR="00AB48B4" w:rsidRDefault="00040AE3">
      <w:pPr>
        <w:pStyle w:val="2"/>
        <w:rPr>
          <w:lang w:val="en-US" w:eastAsia="zh-CN"/>
        </w:rPr>
      </w:pPr>
      <w:r>
        <w:rPr>
          <w:rFonts w:hint="eastAsia"/>
          <w:lang w:val="en-US" w:eastAsia="zh-CN"/>
        </w:rPr>
        <w:t>Clarification of SS-RSSI resource</w:t>
      </w:r>
    </w:p>
    <w:p w:rsidR="00AB48B4" w:rsidRDefault="00040AE3">
      <w:pPr>
        <w:adjustRightInd/>
        <w:snapToGrid w:val="0"/>
        <w:spacing w:after="120"/>
        <w:jc w:val="both"/>
        <w:rPr>
          <w:sz w:val="20"/>
          <w:szCs w:val="20"/>
        </w:rPr>
      </w:pPr>
      <w:r>
        <w:rPr>
          <w:rFonts w:hint="eastAsia"/>
          <w:sz w:val="20"/>
          <w:szCs w:val="20"/>
        </w:rPr>
        <w:t xml:space="preserve">In RAN1 #92b, it was agreed that SS-RSSI configured by higher layer is measured with timing reference from any one of the cells in the target frequency layer for inter-frequency measurement. And in RAN1 #91, it was agreed that slots in the RSSI measurement resource are configured by a bitmap with each bit corresponding to each slot of the slots within the SMTC window duration. In other words, SS-RSSI time domain resource </w:t>
      </w:r>
      <w:r>
        <w:rPr>
          <w:rFonts w:hint="eastAsia"/>
          <w:sz w:val="20"/>
          <w:szCs w:val="20"/>
        </w:rPr>
        <w:lastRenderedPageBreak/>
        <w:t xml:space="preserve">configured by higher layer is based on SMTC window. However, timing reference for SMTC window is  serving cell timing as agreed in RAN1 #91. It looks like two agreements are contradictory. Here we clarify that the OFDM symbols for inter-frequency SS-RSSI measurement should also overlap with SS-RSSI time domain resource configured by higher layer based on the serving cell timing. Figure 1 is an example of how to derive the SS-RSSI measurement time domain resource for inter-frequency measurement. UE can obtain the configured SS-RSSI time domain resource based on the configuration and serving cell timing. Then according to the neighbor cell timing, only the OFDM symbols overlapping with the SS-RSSI time domain resource completely can be used for inter-frequency measurement. </w:t>
      </w:r>
    </w:p>
    <w:p w:rsidR="00AB48B4" w:rsidRDefault="00040AE3">
      <w:pPr>
        <w:adjustRightInd/>
        <w:snapToGrid w:val="0"/>
        <w:spacing w:after="120"/>
        <w:jc w:val="center"/>
      </w:pPr>
      <w:r>
        <w:object w:dxaOrig="7290"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64pt" o:ole="">
            <v:imagedata r:id="rId8" o:title=""/>
          </v:shape>
          <o:OLEObject Type="Embed" ProgID="Visio.Drawing.11" ShapeID="_x0000_i1025" DrawAspect="Content" ObjectID="_1599658861" r:id="rId9"/>
        </w:object>
      </w:r>
    </w:p>
    <w:p w:rsidR="00AB48B4" w:rsidRDefault="00040AE3">
      <w:pPr>
        <w:adjustRightInd/>
        <w:snapToGrid w:val="0"/>
        <w:spacing w:after="120"/>
        <w:jc w:val="center"/>
      </w:pPr>
      <w:r>
        <w:rPr>
          <w:rFonts w:hint="eastAsia"/>
        </w:rPr>
        <w:t xml:space="preserve">Fig. 1 an example of measurement resource for inter-frequency measurement </w:t>
      </w:r>
    </w:p>
    <w:p w:rsidR="00AB48B4" w:rsidRDefault="00040AE3">
      <w:pPr>
        <w:adjustRightInd/>
        <w:snapToGrid w:val="0"/>
        <w:spacing w:after="120"/>
        <w:jc w:val="both"/>
        <w:rPr>
          <w:sz w:val="20"/>
          <w:szCs w:val="20"/>
        </w:rPr>
      </w:pPr>
      <w:r>
        <w:rPr>
          <w:rFonts w:hint="eastAsia"/>
          <w:b/>
          <w:i/>
          <w:sz w:val="20"/>
          <w:szCs w:val="20"/>
        </w:rPr>
        <w:t xml:space="preserve">Proposal 2: For inter-frequency measurement, NR Carrier RSSI is measured on OFDM symbols with timing reference corresponding to any cell in the target frequency layer </w:t>
      </w:r>
      <w:bookmarkStart w:id="4" w:name="OLE_LINK1"/>
      <w:r>
        <w:rPr>
          <w:rFonts w:hint="eastAsia"/>
          <w:b/>
          <w:i/>
          <w:sz w:val="20"/>
          <w:szCs w:val="20"/>
        </w:rPr>
        <w:t>and the OFDM symbols are completely overlapping with the configured SS-RSSI time domain resource with timing reference corresponding to the primary serving cell</w:t>
      </w:r>
      <w:bookmarkEnd w:id="4"/>
      <w:r>
        <w:rPr>
          <w:rFonts w:hint="eastAsia"/>
          <w:b/>
          <w:i/>
          <w:sz w:val="20"/>
          <w:szCs w:val="20"/>
        </w:rPr>
        <w:t>.</w:t>
      </w:r>
    </w:p>
    <w:p w:rsidR="00AB48B4" w:rsidRDefault="00040AE3">
      <w:pPr>
        <w:adjustRightInd/>
        <w:snapToGrid w:val="0"/>
        <w:spacing w:after="120"/>
        <w:jc w:val="both"/>
        <w:rPr>
          <w:sz w:val="20"/>
          <w:szCs w:val="20"/>
        </w:rPr>
      </w:pPr>
      <w:r>
        <w:rPr>
          <w:rFonts w:hint="eastAsia"/>
          <w:sz w:val="20"/>
          <w:szCs w:val="20"/>
        </w:rPr>
        <w:t xml:space="preserve">Based on proposal 2, </w:t>
      </w:r>
      <w:r>
        <w:rPr>
          <w:sz w:val="20"/>
          <w:szCs w:val="20"/>
        </w:rPr>
        <w:t>w</w:t>
      </w:r>
      <w:r>
        <w:rPr>
          <w:rFonts w:hint="eastAsia"/>
          <w:sz w:val="20"/>
          <w:szCs w:val="20"/>
        </w:rPr>
        <w:t>e</w:t>
      </w:r>
      <w:r>
        <w:rPr>
          <w:sz w:val="20"/>
          <w:szCs w:val="20"/>
        </w:rPr>
        <w:t xml:space="preserve"> have</w:t>
      </w:r>
      <w:r>
        <w:rPr>
          <w:rFonts w:hint="eastAsia"/>
          <w:sz w:val="20"/>
          <w:szCs w:val="20"/>
        </w:rPr>
        <w:t xml:space="preserve"> following text proposals for the spec.</w:t>
      </w:r>
    </w:p>
    <w:p w:rsidR="00AB48B4" w:rsidRDefault="00040AE3">
      <w:pPr>
        <w:adjustRightInd/>
        <w:snapToGrid w:val="0"/>
        <w:spacing w:after="120"/>
        <w:jc w:val="both"/>
        <w:rPr>
          <w:sz w:val="20"/>
          <w:szCs w:val="20"/>
        </w:rPr>
      </w:pPr>
      <w:r>
        <w:rPr>
          <w:rFonts w:hint="eastAsia"/>
          <w:sz w:val="20"/>
          <w:szCs w:val="20"/>
        </w:rPr>
        <w:t>------------------------------------Text proposal for Section 5.1.3 in TS38.215----------------------------------------------</w:t>
      </w:r>
    </w:p>
    <w:tbl>
      <w:tblPr>
        <w:tblStyle w:val="ac"/>
        <w:tblW w:w="9242" w:type="dxa"/>
        <w:tblLayout w:type="fixed"/>
        <w:tblLook w:val="04A0" w:firstRow="1" w:lastRow="0" w:firstColumn="1" w:lastColumn="0" w:noHBand="0" w:noVBand="1"/>
      </w:tblPr>
      <w:tblGrid>
        <w:gridCol w:w="9242"/>
      </w:tblGrid>
      <w:tr w:rsidR="00AB48B4">
        <w:tc>
          <w:tcPr>
            <w:tcW w:w="9242" w:type="dxa"/>
          </w:tcPr>
          <w:p w:rsidR="00AB48B4" w:rsidRDefault="00040AE3">
            <w:pPr>
              <w:keepNext/>
              <w:keepLines/>
              <w:ind w:left="284"/>
              <w:rPr>
                <w:rFonts w:ascii="Arial" w:hAnsi="Arial"/>
                <w:sz w:val="18"/>
              </w:rPr>
            </w:pPr>
            <w:r>
              <w:rPr>
                <w:rFonts w:ascii="Arial" w:hAnsi="Arial"/>
                <w:sz w:val="18"/>
              </w:rPr>
              <w:t>-</w:t>
            </w:r>
            <w:r>
              <w:rPr>
                <w:rFonts w:ascii="Arial" w:hAnsi="Arial"/>
                <w:sz w:val="18"/>
              </w:rPr>
              <w:tab/>
              <w:t xml:space="preserve">For intra-frequency measurements, NR Carrier RSSI is measured with timing reference corresponding to the serving cell in the frequency layer </w:t>
            </w:r>
          </w:p>
          <w:p w:rsidR="00AB48B4" w:rsidRDefault="00040AE3">
            <w:pPr>
              <w:keepNext/>
              <w:keepLines/>
              <w:ind w:left="284"/>
              <w:jc w:val="left"/>
              <w:rPr>
                <w:sz w:val="20"/>
                <w:szCs w:val="20"/>
              </w:rPr>
            </w:pPr>
            <w:r>
              <w:rPr>
                <w:rFonts w:ascii="Arial" w:hAnsi="Arial"/>
                <w:sz w:val="18"/>
              </w:rPr>
              <w:t>-</w:t>
            </w:r>
            <w:r>
              <w:rPr>
                <w:rFonts w:ascii="Arial" w:hAnsi="Arial"/>
                <w:sz w:val="18"/>
              </w:rPr>
              <w:tab/>
              <w:t xml:space="preserve">For inter-frequency measurements, NR Carrier RSSI is measured </w:t>
            </w:r>
            <w:r>
              <w:rPr>
                <w:rFonts w:hint="eastAsia"/>
                <w:color w:val="FF0000"/>
                <w:u w:val="single"/>
              </w:rPr>
              <w:t xml:space="preserve">on OFDM symbols </w:t>
            </w:r>
            <w:r>
              <w:rPr>
                <w:rFonts w:ascii="Arial" w:hAnsi="Arial"/>
                <w:sz w:val="18"/>
              </w:rPr>
              <w:t>with timing reference corresponding to any cell in the target frequency layer</w:t>
            </w:r>
            <w:r>
              <w:rPr>
                <w:rFonts w:hint="eastAsia"/>
                <w:color w:val="FF0000"/>
                <w:u w:val="single"/>
              </w:rPr>
              <w:t>, where the OFDM symbols are completely overlapping with the configured SS-RSSI time domain resource with timing reference corresponding to the primary serving cell</w:t>
            </w:r>
          </w:p>
        </w:tc>
      </w:tr>
    </w:tbl>
    <w:p w:rsidR="00AB48B4" w:rsidRDefault="00AB48B4">
      <w:pPr>
        <w:adjustRightInd/>
        <w:snapToGrid w:val="0"/>
        <w:spacing w:after="120"/>
        <w:jc w:val="both"/>
        <w:rPr>
          <w:sz w:val="20"/>
          <w:szCs w:val="20"/>
        </w:rPr>
      </w:pPr>
    </w:p>
    <w:p w:rsidR="00AB48B4" w:rsidRDefault="00040AE3">
      <w:pPr>
        <w:pStyle w:val="1"/>
        <w:rPr>
          <w:lang w:val="en-US" w:eastAsia="zh-CN"/>
        </w:rPr>
      </w:pPr>
      <w:r>
        <w:rPr>
          <w:rFonts w:hint="eastAsia"/>
          <w:lang w:val="en-US" w:eastAsia="zh-CN"/>
        </w:rPr>
        <w:lastRenderedPageBreak/>
        <w:t>RLM</w:t>
      </w:r>
    </w:p>
    <w:p w:rsidR="00AB48B4" w:rsidRDefault="00040AE3">
      <w:pPr>
        <w:adjustRightInd/>
        <w:snapToGrid w:val="0"/>
        <w:spacing w:after="120"/>
        <w:jc w:val="both"/>
        <w:rPr>
          <w:sz w:val="20"/>
          <w:szCs w:val="20"/>
        </w:rPr>
      </w:pPr>
      <w:r>
        <w:rPr>
          <w:rFonts w:hint="eastAsia"/>
          <w:sz w:val="20"/>
          <w:szCs w:val="20"/>
        </w:rPr>
        <w:t xml:space="preserve">RLM-RS can be configured by RRC signaling explicitly and TCI state of CORESET implicitly when RRC signaling is not provided. It works well in most case. However, in some special cases, further </w:t>
      </w:r>
      <w:r>
        <w:rPr>
          <w:sz w:val="20"/>
          <w:szCs w:val="20"/>
        </w:rPr>
        <w:t>operation</w:t>
      </w:r>
      <w:r>
        <w:rPr>
          <w:rFonts w:hint="eastAsia"/>
          <w:sz w:val="20"/>
          <w:szCs w:val="20"/>
        </w:rPr>
        <w:t xml:space="preserve"> is needed to avoid unnecessary problems. As shown in </w:t>
      </w:r>
      <w:r w:rsidR="007401EB">
        <w:rPr>
          <w:sz w:val="20"/>
          <w:szCs w:val="20"/>
        </w:rPr>
        <w:t>F</w:t>
      </w:r>
      <w:r>
        <w:rPr>
          <w:rFonts w:hint="eastAsia"/>
          <w:sz w:val="20"/>
          <w:szCs w:val="20"/>
        </w:rPr>
        <w:t xml:space="preserve">igure 2, in the beginning, network configure beam 1 and beam 2 for both RLM and BFD through RRC signaling while beam 3 and beam 4 are configured for new beam identification. Here we use beam to represent RS for RLM and BFD monitoring and new beam identification. At T1, beam 1 and beam 2 are both blocked. Then at T2 beam failure is declared and beam failure recovery procedure is triggered. At T3, T310 is started by RRC layer due to the fact that consecutive N310 OOS are received. At T4, beam 3 is recovered successfully and used for PDCCH/PDSCH reception for UE from then on. Therefore, </w:t>
      </w:r>
      <w:r w:rsidR="007401EB">
        <w:rPr>
          <w:sz w:val="20"/>
          <w:szCs w:val="20"/>
        </w:rPr>
        <w:t xml:space="preserve">from our opinion, </w:t>
      </w:r>
      <w:r>
        <w:rPr>
          <w:rFonts w:hint="eastAsia"/>
          <w:sz w:val="20"/>
          <w:szCs w:val="20"/>
        </w:rPr>
        <w:t xml:space="preserve">beam 3 should also be used for RLM at this time. </w:t>
      </w:r>
      <w:r w:rsidR="00A66FD0">
        <w:rPr>
          <w:sz w:val="20"/>
          <w:szCs w:val="20"/>
        </w:rPr>
        <w:t>But i</w:t>
      </w:r>
      <w:r>
        <w:rPr>
          <w:rFonts w:hint="eastAsia"/>
          <w:sz w:val="20"/>
          <w:szCs w:val="20"/>
        </w:rPr>
        <w:t>n fact, beam 3 is configured for RLM until T5 due to the latency of RRC signaling. The maximum number of RLM-RS is 2 for sub-3GHz carrier, 4 for from 3GHz to 6GHz, 8 for beyond 6GHz respectively while the maximum number of RS for new candidate beam identification is 16. Th</w:t>
      </w:r>
      <w:r w:rsidR="00A66FD0">
        <w:rPr>
          <w:sz w:val="20"/>
          <w:szCs w:val="20"/>
        </w:rPr>
        <w:t>is means</w:t>
      </w:r>
      <w:r>
        <w:rPr>
          <w:rFonts w:hint="eastAsia"/>
          <w:sz w:val="20"/>
          <w:szCs w:val="20"/>
        </w:rPr>
        <w:t xml:space="preserve"> the recovered beam is probably not in the configured RLM-RS set. In this case, network should reconfigure RLM-RS after beam failure recovery every </w:t>
      </w:r>
      <w:bookmarkStart w:id="5" w:name="_GoBack"/>
      <w:bookmarkEnd w:id="5"/>
      <w:r>
        <w:rPr>
          <w:rFonts w:hint="eastAsia"/>
          <w:sz w:val="20"/>
          <w:szCs w:val="20"/>
        </w:rPr>
        <w:t xml:space="preserve">time, which leads to two problems. First, the overhead of RRC signaling to reconfiguration RLM-RS after beam failure recovery every time may be unbearable. Second, the latency from T4 to T5 caused by RRC latency may lead to RLF because UE monitors beam 1 and beam 2 until T5. To avoid unnecessary RLF declaration and RRC signaling overhead, beam 3 should be used for RLM as soon as possible when beam failure recovery is successful. </w:t>
      </w:r>
    </w:p>
    <w:p w:rsidR="00AB48B4" w:rsidRDefault="00AB48B4">
      <w:pPr>
        <w:adjustRightInd/>
        <w:snapToGrid w:val="0"/>
        <w:spacing w:after="120"/>
        <w:jc w:val="both"/>
        <w:rPr>
          <w:sz w:val="20"/>
          <w:szCs w:val="20"/>
        </w:rPr>
      </w:pPr>
    </w:p>
    <w:p w:rsidR="00AB48B4" w:rsidRDefault="00040AE3">
      <w:pPr>
        <w:adjustRightInd/>
        <w:snapToGrid w:val="0"/>
        <w:spacing w:after="120"/>
        <w:jc w:val="center"/>
      </w:pPr>
      <w:r>
        <w:object w:dxaOrig="8320" w:dyaOrig="4950">
          <v:shape id="_x0000_i1026" type="#_x0000_t75" style="width:416pt;height:247.5pt" o:ole="">
            <v:imagedata r:id="rId10" o:title=""/>
          </v:shape>
          <o:OLEObject Type="Embed" ProgID="Visio.Drawing.11" ShapeID="_x0000_i1026" DrawAspect="Content" ObjectID="_1599658862" r:id="rId11"/>
        </w:object>
      </w:r>
    </w:p>
    <w:p w:rsidR="00AB48B4" w:rsidRDefault="00040AE3">
      <w:pPr>
        <w:adjustRightInd/>
        <w:snapToGrid w:val="0"/>
        <w:spacing w:after="120"/>
        <w:jc w:val="center"/>
      </w:pPr>
      <w:r>
        <w:rPr>
          <w:rFonts w:hint="eastAsia"/>
        </w:rPr>
        <w:t>Fig. 2 RLF procedure</w:t>
      </w:r>
    </w:p>
    <w:p w:rsidR="00AB48B4" w:rsidRDefault="00040AE3">
      <w:pPr>
        <w:adjustRightInd/>
        <w:snapToGrid w:val="0"/>
        <w:spacing w:after="120"/>
        <w:jc w:val="both"/>
        <w:rPr>
          <w:sz w:val="20"/>
          <w:szCs w:val="20"/>
        </w:rPr>
      </w:pPr>
      <w:bookmarkStart w:id="6" w:name="OLE_LINK2"/>
      <w:r>
        <w:rPr>
          <w:rFonts w:hint="eastAsia"/>
          <w:b/>
          <w:i/>
          <w:sz w:val="20"/>
          <w:szCs w:val="20"/>
        </w:rPr>
        <w:t xml:space="preserve">Proposal 3: When beam failure recovery is successful, RS for recovered beam should be used for RLM immediately. </w:t>
      </w:r>
    </w:p>
    <w:bookmarkEnd w:id="6"/>
    <w:p w:rsidR="00AB48B4" w:rsidRDefault="00040AE3">
      <w:pPr>
        <w:adjustRightInd/>
        <w:snapToGrid w:val="0"/>
        <w:spacing w:after="120"/>
        <w:jc w:val="both"/>
        <w:rPr>
          <w:sz w:val="20"/>
          <w:szCs w:val="20"/>
        </w:rPr>
      </w:pPr>
      <w:r>
        <w:rPr>
          <w:sz w:val="20"/>
          <w:szCs w:val="20"/>
        </w:rPr>
        <w:t>Based on Proposal</w:t>
      </w:r>
      <w:r>
        <w:rPr>
          <w:rFonts w:hint="eastAsia"/>
          <w:sz w:val="20"/>
          <w:szCs w:val="20"/>
        </w:rPr>
        <w:t xml:space="preserve"> 3</w:t>
      </w:r>
      <w:r>
        <w:rPr>
          <w:sz w:val="20"/>
          <w:szCs w:val="20"/>
        </w:rPr>
        <w:t>, w</w:t>
      </w:r>
      <w:r>
        <w:rPr>
          <w:rFonts w:hint="eastAsia"/>
          <w:sz w:val="20"/>
          <w:szCs w:val="20"/>
        </w:rPr>
        <w:t>e</w:t>
      </w:r>
      <w:r>
        <w:rPr>
          <w:sz w:val="20"/>
          <w:szCs w:val="20"/>
        </w:rPr>
        <w:t xml:space="preserve"> have</w:t>
      </w:r>
      <w:r>
        <w:rPr>
          <w:rFonts w:hint="eastAsia"/>
          <w:sz w:val="20"/>
          <w:szCs w:val="20"/>
        </w:rPr>
        <w:t xml:space="preserve"> following text proposals for the spec.</w:t>
      </w:r>
    </w:p>
    <w:p w:rsidR="00AB48B4" w:rsidRDefault="00040AE3">
      <w:pPr>
        <w:adjustRightInd/>
        <w:snapToGrid w:val="0"/>
        <w:spacing w:after="120"/>
        <w:jc w:val="both"/>
        <w:rPr>
          <w:sz w:val="20"/>
          <w:szCs w:val="20"/>
        </w:rPr>
      </w:pPr>
      <w:r>
        <w:rPr>
          <w:rFonts w:hint="eastAsia"/>
          <w:sz w:val="20"/>
          <w:szCs w:val="20"/>
        </w:rPr>
        <w:t>--------------------------------------Text Proposal for Section 5 in TS38.213---------------------------------------</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AB48B4">
        <w:tc>
          <w:tcPr>
            <w:tcW w:w="9346" w:type="dxa"/>
          </w:tcPr>
          <w:p w:rsidR="00AB48B4" w:rsidRDefault="00040AE3">
            <w:r>
              <w:rPr>
                <w:rFonts w:eastAsia="MS Mincho"/>
                <w:lang w:eastAsia="ja-JP"/>
              </w:rPr>
              <w:t xml:space="preserve">A </w:t>
            </w:r>
            <w:r>
              <w:t xml:space="preserve">UE can be configured for each DL BWP of a SpCell [11, TS 38.321] with a set of resource indexes, </w:t>
            </w:r>
            <w:r>
              <w:lastRenderedPageBreak/>
              <w:t xml:space="preserve">through a corresponding set of higher layer parameters </w:t>
            </w:r>
            <w:r>
              <w:rPr>
                <w:i/>
              </w:rPr>
              <w:t>RadioLinkMonitoringRS</w:t>
            </w:r>
            <w:r>
              <w:t xml:space="preserve">, for radio link monitoring by higher layer parameter </w:t>
            </w:r>
            <w:r>
              <w:rPr>
                <w:i/>
              </w:rPr>
              <w:t>failureDetectionResources</w:t>
            </w:r>
            <w:r>
              <w:t xml:space="preserve">. The UE is provided either a CSI-RS resource configuration index, by higher layer parameter </w:t>
            </w:r>
            <w:r>
              <w:rPr>
                <w:i/>
              </w:rPr>
              <w:t>csi-RS-Index</w:t>
            </w:r>
            <w:r>
              <w:t xml:space="preserve">, or a SS/PBCH block index, by higher layer parameter </w:t>
            </w:r>
            <w:r>
              <w:rPr>
                <w:i/>
              </w:rPr>
              <w:t>ssb-Index</w:t>
            </w:r>
            <w:r>
              <w:t xml:space="preserve">. The UE can be configured with up to </w:t>
            </w:r>
            <w:r>
              <w:rPr>
                <w:iCs/>
                <w:position w:val="-10"/>
              </w:rPr>
              <w:object w:dxaOrig="750" w:dyaOrig="310">
                <v:shape id="_x0000_i1027" type="#_x0000_t75" style="width:37.5pt;height:15.5pt" o:ole="">
                  <v:imagedata r:id="rId12" o:title=""/>
                </v:shape>
                <o:OLEObject Type="Embed" ProgID="Equation.3" ShapeID="_x0000_i1027" DrawAspect="Content" ObjectID="_1599658863" r:id="rId13"/>
              </w:object>
            </w:r>
            <w:r>
              <w:t xml:space="preserve"> </w:t>
            </w:r>
            <w:r>
              <w:rPr>
                <w:i/>
              </w:rPr>
              <w:t>RadioLinkMonitoringRS</w:t>
            </w:r>
            <w:r>
              <w:t xml:space="preserve"> for link recovery procedures, as decribed in Subclause 6, and for radio link monitoring. From the </w:t>
            </w:r>
            <w:r>
              <w:rPr>
                <w:iCs/>
                <w:position w:val="-10"/>
              </w:rPr>
              <w:object w:dxaOrig="750" w:dyaOrig="310">
                <v:shape id="_x0000_i1028" type="#_x0000_t75" style="width:37.5pt;height:15.5pt" o:ole="">
                  <v:imagedata r:id="rId12" o:title=""/>
                </v:shape>
                <o:OLEObject Type="Embed" ProgID="Equation.3" ShapeID="_x0000_i1028" DrawAspect="Content" ObjectID="_1599658864" r:id="rId14"/>
              </w:object>
            </w:r>
            <w:r>
              <w:rPr>
                <w:iCs/>
              </w:rPr>
              <w:t xml:space="preserve"> </w:t>
            </w:r>
            <w:r>
              <w:rPr>
                <w:i/>
              </w:rPr>
              <w:t>RadioLinkMonitoringRS</w:t>
            </w:r>
            <w:r>
              <w:t xml:space="preserve">, up to </w:t>
            </w:r>
            <w:r>
              <w:rPr>
                <w:iCs/>
                <w:position w:val="-10"/>
              </w:rPr>
              <w:object w:dxaOrig="500" w:dyaOrig="310">
                <v:shape id="_x0000_i1029" type="#_x0000_t75" style="width:25pt;height:15.5pt" o:ole="">
                  <v:imagedata r:id="rId15" o:title=""/>
                </v:shape>
                <o:OLEObject Type="Embed" ProgID="Equation.3" ShapeID="_x0000_i1029" DrawAspect="Content" ObjectID="_1599658865" r:id="rId16"/>
              </w:object>
            </w:r>
            <w:r>
              <w:t xml:space="preserve"> </w:t>
            </w:r>
            <w:r>
              <w:rPr>
                <w:i/>
              </w:rPr>
              <w:t>RadioLinkMonitoringRS</w:t>
            </w:r>
            <w:r>
              <w:t xml:space="preserve"> can be used for radio link monitoring depending on a maximum number </w:t>
            </w:r>
            <w:r>
              <w:rPr>
                <w:iCs/>
                <w:position w:val="-4"/>
              </w:rPr>
              <w:object w:dxaOrig="200" w:dyaOrig="230">
                <v:shape id="_x0000_i1030" type="#_x0000_t75" style="width:10pt;height:11.5pt" o:ole="">
                  <v:imagedata r:id="rId17" o:title=""/>
                </v:shape>
                <o:OLEObject Type="Embed" ProgID="Equation.3" ShapeID="_x0000_i1030" DrawAspect="Content" ObjectID="_1599658866" r:id="rId18"/>
              </w:object>
            </w:r>
            <w:r>
              <w:rPr>
                <w:iCs/>
              </w:rPr>
              <w:t xml:space="preserve"> </w:t>
            </w:r>
            <w:r>
              <w:t xml:space="preserve">of candidate SS/PBCH blocks per half frame as described in Subclause 4.1, and up to two </w:t>
            </w:r>
            <w:r>
              <w:rPr>
                <w:i/>
              </w:rPr>
              <w:t>RadioLinkMonitoringRS</w:t>
            </w:r>
            <w:r>
              <w:t xml:space="preserve"> can be used for link recovery procedures.</w:t>
            </w:r>
          </w:p>
          <w:p w:rsidR="00AB48B4" w:rsidRDefault="00040AE3">
            <w:pPr>
              <w:rPr>
                <w:color w:val="FF0000"/>
                <w:u w:val="single"/>
              </w:rPr>
            </w:pPr>
            <w:r>
              <w:rPr>
                <w:rFonts w:hint="eastAsia"/>
                <w:color w:val="FF0000"/>
                <w:u w:val="single"/>
              </w:rPr>
              <w:t xml:space="preserve">A CSI-RS resource or SS/PBCH block associated with index </w:t>
            </w:r>
            <w:r>
              <w:rPr>
                <w:iCs/>
                <w:position w:val="-12"/>
              </w:rPr>
              <w:object w:dxaOrig="420" w:dyaOrig="370">
                <v:shape id="_x0000_i1031" type="#_x0000_t75" style="width:21pt;height:18.5pt" o:ole="">
                  <v:imagedata r:id="rId19" o:title=""/>
                </v:shape>
                <o:OLEObject Type="Embed" ProgID="Equation.3" ShapeID="_x0000_i1031" DrawAspect="Content" ObjectID="_1599658867" r:id="rId20"/>
              </w:object>
            </w:r>
            <w:r>
              <w:rPr>
                <w:rFonts w:hint="eastAsia"/>
                <w:color w:val="FF0000"/>
                <w:u w:val="single"/>
              </w:rPr>
              <w:t xml:space="preserve"> shall be used for RLM after the UE detects a DCI format with CRC scrambled by C-RNTI or MCS-C-RNTI in the search space provided by </w:t>
            </w:r>
            <w:r>
              <w:rPr>
                <w:rFonts w:hint="eastAsia"/>
                <w:i/>
                <w:iCs/>
                <w:color w:val="FF0000"/>
                <w:u w:val="single"/>
              </w:rPr>
              <w:t>recoverySearchSpaceId</w:t>
            </w:r>
            <w:r>
              <w:rPr>
                <w:rFonts w:hint="eastAsia"/>
                <w:color w:val="FF0000"/>
                <w:u w:val="single"/>
              </w:rPr>
              <w:t xml:space="preserve">, as </w:t>
            </w:r>
            <w:r>
              <w:rPr>
                <w:color w:val="FF0000"/>
                <w:u w:val="single"/>
              </w:rPr>
              <w:t>described</w:t>
            </w:r>
            <w:r>
              <w:rPr>
                <w:rFonts w:hint="eastAsia"/>
                <w:color w:val="FF0000"/>
                <w:u w:val="single"/>
              </w:rPr>
              <w:t xml:space="preserve"> in Subclause 6, until RS for RLM is reconfigured by network.</w:t>
            </w:r>
            <w:r>
              <w:rPr>
                <w:rFonts w:hint="eastAsia"/>
              </w:rPr>
              <w:t xml:space="preserve"> </w:t>
            </w:r>
          </w:p>
        </w:tc>
      </w:tr>
    </w:tbl>
    <w:p w:rsidR="00AB48B4" w:rsidRDefault="00040AE3">
      <w:pPr>
        <w:pStyle w:val="1"/>
      </w:pPr>
      <w:r>
        <w:rPr>
          <w:rFonts w:hint="eastAsia"/>
          <w:lang w:eastAsia="zh-CN"/>
        </w:rPr>
        <w:lastRenderedPageBreak/>
        <w:t>Conclusions</w:t>
      </w:r>
    </w:p>
    <w:p w:rsidR="00AB48B4" w:rsidRDefault="00040AE3">
      <w:pPr>
        <w:adjustRightInd/>
        <w:snapToGrid w:val="0"/>
        <w:spacing w:after="120"/>
        <w:jc w:val="both"/>
        <w:rPr>
          <w:rFonts w:cs="Arial"/>
          <w:sz w:val="20"/>
          <w:szCs w:val="20"/>
        </w:rPr>
      </w:pPr>
      <w:r>
        <w:rPr>
          <w:rFonts w:cs="Arial"/>
          <w:sz w:val="20"/>
          <w:szCs w:val="20"/>
        </w:rPr>
        <w:t>I</w:t>
      </w:r>
      <w:r>
        <w:rPr>
          <w:rFonts w:cs="Arial" w:hint="eastAsia"/>
          <w:sz w:val="20"/>
          <w:szCs w:val="20"/>
        </w:rPr>
        <w:t xml:space="preserve">n this </w:t>
      </w:r>
      <w:r>
        <w:rPr>
          <w:rFonts w:cs="Arial"/>
          <w:sz w:val="20"/>
          <w:szCs w:val="20"/>
        </w:rPr>
        <w:t>contribution</w:t>
      </w:r>
      <w:r>
        <w:rPr>
          <w:rFonts w:cs="Arial" w:hint="eastAsia"/>
          <w:sz w:val="20"/>
          <w:szCs w:val="20"/>
        </w:rPr>
        <w:t>, NR mobility issues are discussed and we have following proposals:</w:t>
      </w:r>
    </w:p>
    <w:p w:rsidR="00AB48B4" w:rsidRDefault="00040AE3">
      <w:pPr>
        <w:adjustRightInd/>
        <w:snapToGrid w:val="0"/>
        <w:spacing w:after="120"/>
        <w:jc w:val="both"/>
        <w:rPr>
          <w:b/>
          <w:i/>
          <w:sz w:val="20"/>
          <w:szCs w:val="20"/>
        </w:rPr>
      </w:pPr>
      <w:r>
        <w:rPr>
          <w:rFonts w:hint="eastAsia"/>
          <w:b/>
          <w:i/>
          <w:sz w:val="20"/>
          <w:szCs w:val="20"/>
        </w:rPr>
        <w:t>Proposal 1: Disabling RRM measurement is more preferable for SSB-less SCell.</w:t>
      </w:r>
    </w:p>
    <w:p w:rsidR="00AB48B4" w:rsidRDefault="00040AE3">
      <w:pPr>
        <w:adjustRightInd/>
        <w:snapToGrid w:val="0"/>
        <w:spacing w:after="120"/>
        <w:jc w:val="both"/>
        <w:rPr>
          <w:b/>
          <w:i/>
          <w:sz w:val="20"/>
          <w:szCs w:val="20"/>
        </w:rPr>
      </w:pPr>
      <w:r>
        <w:rPr>
          <w:rFonts w:hint="eastAsia"/>
          <w:b/>
          <w:i/>
          <w:sz w:val="20"/>
          <w:szCs w:val="20"/>
        </w:rPr>
        <w:t>Proposal 2: For inter-frequency measurement, NR Carrier RSSI is measured on OFDM symbols with timing reference corresponding to any cell in the target frequency layer and the OFDM symbols are completely overlapping with the configured SS-RSSI time domain resource with timing reference corresponding to the primary serving cell.</w:t>
      </w:r>
    </w:p>
    <w:p w:rsidR="00AB48B4" w:rsidRDefault="00040AE3">
      <w:pPr>
        <w:adjustRightInd/>
        <w:snapToGrid w:val="0"/>
        <w:spacing w:after="120"/>
        <w:jc w:val="both"/>
        <w:rPr>
          <w:b/>
          <w:i/>
          <w:sz w:val="20"/>
          <w:szCs w:val="20"/>
        </w:rPr>
      </w:pPr>
      <w:r>
        <w:rPr>
          <w:rFonts w:hint="eastAsia"/>
          <w:b/>
          <w:i/>
          <w:sz w:val="20"/>
          <w:szCs w:val="20"/>
        </w:rPr>
        <w:t xml:space="preserve">Proposal 3: When beam failure recovery is successful, RS for recovered beam should be used for RLM immediately. </w:t>
      </w:r>
    </w:p>
    <w:p w:rsidR="00AB48B4" w:rsidRDefault="00040AE3">
      <w:pPr>
        <w:pStyle w:val="1"/>
        <w:numPr>
          <w:ilvl w:val="0"/>
          <w:numId w:val="0"/>
        </w:numPr>
        <w:ind w:left="432" w:hanging="432"/>
        <w:rPr>
          <w:lang w:eastAsia="zh-CN"/>
        </w:rPr>
      </w:pPr>
      <w:r>
        <w:rPr>
          <w:lang w:eastAsia="zh-CN"/>
        </w:rPr>
        <w:t>References</w:t>
      </w:r>
    </w:p>
    <w:p w:rsidR="00AB48B4" w:rsidRDefault="00040AE3">
      <w:pPr>
        <w:pStyle w:val="10"/>
        <w:numPr>
          <w:ilvl w:val="0"/>
          <w:numId w:val="2"/>
        </w:numPr>
        <w:ind w:left="426" w:firstLineChars="0"/>
        <w:jc w:val="both"/>
        <w:rPr>
          <w:iCs/>
          <w:sz w:val="20"/>
          <w:szCs w:val="20"/>
        </w:rPr>
      </w:pPr>
      <w:r>
        <w:rPr>
          <w:rFonts w:hint="eastAsia"/>
          <w:iCs/>
          <w:sz w:val="20"/>
          <w:szCs w:val="20"/>
        </w:rPr>
        <w:t>RAN1 #94 chairman</w:t>
      </w:r>
      <w:r>
        <w:rPr>
          <w:iCs/>
          <w:sz w:val="20"/>
          <w:szCs w:val="20"/>
        </w:rPr>
        <w:t>’</w:t>
      </w:r>
      <w:r>
        <w:rPr>
          <w:rFonts w:hint="eastAsia"/>
          <w:iCs/>
          <w:sz w:val="20"/>
          <w:szCs w:val="20"/>
        </w:rPr>
        <w:t>s notes</w:t>
      </w:r>
    </w:p>
    <w:p w:rsidR="00AB48B4" w:rsidRDefault="00040AE3">
      <w:pPr>
        <w:pStyle w:val="10"/>
        <w:numPr>
          <w:ilvl w:val="0"/>
          <w:numId w:val="2"/>
        </w:numPr>
        <w:ind w:left="426" w:firstLineChars="0"/>
        <w:jc w:val="both"/>
        <w:rPr>
          <w:iCs/>
          <w:sz w:val="20"/>
          <w:szCs w:val="20"/>
        </w:rPr>
      </w:pPr>
      <w:r>
        <w:rPr>
          <w:rFonts w:hint="eastAsia"/>
          <w:iCs/>
          <w:sz w:val="20"/>
          <w:szCs w:val="20"/>
        </w:rPr>
        <w:t>R2-1806644</w:t>
      </w:r>
      <w:r>
        <w:rPr>
          <w:iCs/>
          <w:sz w:val="20"/>
          <w:szCs w:val="20"/>
        </w:rPr>
        <w:t xml:space="preserve"> </w:t>
      </w:r>
      <w:r w:rsidRPr="00040AE3">
        <w:rPr>
          <w:rFonts w:hint="eastAsia"/>
          <w:iCs/>
          <w:sz w:val="20"/>
          <w:szCs w:val="20"/>
        </w:rPr>
        <w:t>Reply LS on intra-frequency measurement on NR SCell</w:t>
      </w:r>
      <w:r w:rsidRPr="00040AE3">
        <w:rPr>
          <w:iCs/>
          <w:sz w:val="20"/>
          <w:szCs w:val="20"/>
        </w:rPr>
        <w:t>,</w:t>
      </w:r>
      <w:r w:rsidRPr="00040AE3">
        <w:rPr>
          <w:rFonts w:hint="eastAsia"/>
          <w:iCs/>
          <w:sz w:val="20"/>
          <w:szCs w:val="20"/>
        </w:rPr>
        <w:t xml:space="preserve"> </w:t>
      </w:r>
      <w:r>
        <w:rPr>
          <w:iCs/>
          <w:sz w:val="20"/>
          <w:szCs w:val="20"/>
        </w:rPr>
        <w:t>NTT D</w:t>
      </w:r>
      <w:r>
        <w:rPr>
          <w:rFonts w:hint="eastAsia"/>
          <w:iCs/>
          <w:sz w:val="20"/>
          <w:szCs w:val="20"/>
        </w:rPr>
        <w:t>oC</w:t>
      </w:r>
      <w:r w:rsidRPr="00040AE3">
        <w:rPr>
          <w:rFonts w:hint="eastAsia"/>
          <w:iCs/>
          <w:sz w:val="20"/>
          <w:szCs w:val="20"/>
        </w:rPr>
        <w:t>o</w:t>
      </w:r>
      <w:r>
        <w:rPr>
          <w:iCs/>
          <w:sz w:val="20"/>
          <w:szCs w:val="20"/>
        </w:rPr>
        <w:t>M</w:t>
      </w:r>
      <w:r w:rsidRPr="00040AE3">
        <w:rPr>
          <w:rFonts w:hint="eastAsia"/>
          <w:iCs/>
          <w:sz w:val="20"/>
          <w:szCs w:val="20"/>
        </w:rPr>
        <w:t>o</w:t>
      </w:r>
    </w:p>
    <w:p w:rsidR="00AB48B4" w:rsidRDefault="00040AE3">
      <w:pPr>
        <w:pStyle w:val="1"/>
        <w:numPr>
          <w:ilvl w:val="0"/>
          <w:numId w:val="0"/>
        </w:numPr>
        <w:ind w:left="432" w:hanging="432"/>
        <w:rPr>
          <w:lang w:val="en-US" w:eastAsia="zh-CN"/>
        </w:rPr>
      </w:pPr>
      <w:r>
        <w:rPr>
          <w:rFonts w:hint="eastAsia"/>
          <w:lang w:val="en-US" w:eastAsia="zh-CN"/>
        </w:rPr>
        <w:t>Appendix</w:t>
      </w:r>
    </w:p>
    <w:tbl>
      <w:tblPr>
        <w:tblStyle w:val="ac"/>
        <w:tblW w:w="9242" w:type="dxa"/>
        <w:tblLayout w:type="fixed"/>
        <w:tblLook w:val="04A0" w:firstRow="1" w:lastRow="0" w:firstColumn="1" w:lastColumn="0" w:noHBand="0" w:noVBand="1"/>
      </w:tblPr>
      <w:tblGrid>
        <w:gridCol w:w="9242"/>
      </w:tblGrid>
      <w:tr w:rsidR="00AB48B4">
        <w:tc>
          <w:tcPr>
            <w:tcW w:w="9242" w:type="dxa"/>
          </w:tcPr>
          <w:p w:rsidR="00AB48B4" w:rsidRDefault="00040AE3">
            <w:pPr>
              <w:rPr>
                <w:szCs w:val="20"/>
              </w:rPr>
            </w:pPr>
            <w:r>
              <w:rPr>
                <w:szCs w:val="20"/>
                <w:highlight w:val="green"/>
              </w:rPr>
              <w:t>Agreements</w:t>
            </w:r>
            <w:r>
              <w:rPr>
                <w:szCs w:val="20"/>
              </w:rPr>
              <w:t>:</w:t>
            </w:r>
            <w:r>
              <w:rPr>
                <w:rFonts w:hint="eastAsia"/>
                <w:szCs w:val="20"/>
              </w:rPr>
              <w:t>(RAN1 #91)</w:t>
            </w:r>
          </w:p>
          <w:p w:rsidR="00AB48B4" w:rsidRDefault="00040AE3">
            <w:pPr>
              <w:rPr>
                <w:szCs w:val="20"/>
                <w:lang w:eastAsia="ko-KR"/>
              </w:rPr>
            </w:pPr>
            <w:r>
              <w:rPr>
                <w:szCs w:val="20"/>
                <w:lang w:eastAsia="ko-KR"/>
              </w:rPr>
              <w:t>When a set of slots for RSSI time-domain measurement resource can be explicitly configured per frequency carrier for a UE in RRC_CONNECTED mode:</w:t>
            </w:r>
            <w:r>
              <w:rPr>
                <w:rFonts w:hint="eastAsia"/>
                <w:szCs w:val="20"/>
              </w:rPr>
              <w:t xml:space="preserve"> </w:t>
            </w:r>
          </w:p>
          <w:p w:rsidR="00AB48B4" w:rsidRDefault="00040AE3">
            <w:pPr>
              <w:pStyle w:val="3"/>
              <w:numPr>
                <w:ilvl w:val="0"/>
                <w:numId w:val="3"/>
              </w:numPr>
              <w:spacing w:after="180"/>
              <w:ind w:leftChars="0"/>
              <w:rPr>
                <w:szCs w:val="20"/>
                <w:lang w:eastAsia="ko-KR"/>
              </w:rPr>
            </w:pPr>
            <w:r>
              <w:rPr>
                <w:szCs w:val="20"/>
                <w:lang w:eastAsia="ko-KR"/>
              </w:rPr>
              <w:t>Slots in the RSSI measurement resource are configured by a bitmap with each bit corresponding to each slot of the slots within the SMTC window duration</w:t>
            </w:r>
            <w:r>
              <w:rPr>
                <w:rFonts w:hint="eastAsia"/>
                <w:szCs w:val="20"/>
              </w:rPr>
              <w:t xml:space="preserve"> </w:t>
            </w:r>
          </w:p>
          <w:p w:rsidR="00AB48B4" w:rsidRDefault="00040AE3">
            <w:pPr>
              <w:pStyle w:val="3"/>
              <w:numPr>
                <w:ilvl w:val="1"/>
                <w:numId w:val="3"/>
              </w:numPr>
              <w:spacing w:after="180"/>
              <w:ind w:leftChars="0"/>
              <w:rPr>
                <w:szCs w:val="20"/>
                <w:lang w:eastAsia="ko-KR"/>
              </w:rPr>
            </w:pPr>
            <w:r>
              <w:rPr>
                <w:szCs w:val="20"/>
                <w:lang w:eastAsia="ko-KR"/>
              </w:rPr>
              <w:lastRenderedPageBreak/>
              <w:t>Here, the slots are determined based on the SSB numerology</w:t>
            </w:r>
          </w:p>
          <w:p w:rsidR="00AB48B4" w:rsidRDefault="00040AE3">
            <w:pPr>
              <w:pStyle w:val="3"/>
              <w:numPr>
                <w:ilvl w:val="0"/>
                <w:numId w:val="3"/>
              </w:numPr>
              <w:spacing w:after="180"/>
              <w:ind w:leftChars="0"/>
              <w:rPr>
                <w:szCs w:val="20"/>
                <w:lang w:eastAsia="ko-KR"/>
              </w:rPr>
            </w:pPr>
            <w:r>
              <w:rPr>
                <w:szCs w:val="20"/>
                <w:lang w:eastAsia="ko-KR"/>
              </w:rPr>
              <w:t xml:space="preserve">OFDM symbol level configuration for the configured slots: </w:t>
            </w:r>
          </w:p>
          <w:p w:rsidR="00AB48B4" w:rsidRDefault="00040AE3">
            <w:pPr>
              <w:pStyle w:val="3"/>
              <w:numPr>
                <w:ilvl w:val="1"/>
                <w:numId w:val="3"/>
              </w:numPr>
              <w:spacing w:after="180"/>
              <w:ind w:leftChars="0"/>
              <w:rPr>
                <w:szCs w:val="20"/>
                <w:lang w:eastAsia="ko-KR"/>
              </w:rPr>
            </w:pPr>
            <w:r>
              <w:rPr>
                <w:szCs w:val="20"/>
                <w:lang w:eastAsia="ko-KR"/>
              </w:rPr>
              <w:t>Configurable with a limited set of ending symbols; the set of symbols in a slot is from symbol 0 to the ending symbol</w:t>
            </w:r>
          </w:p>
          <w:p w:rsidR="00AB48B4" w:rsidRDefault="00040AE3">
            <w:pPr>
              <w:pStyle w:val="3"/>
              <w:numPr>
                <w:ilvl w:val="2"/>
                <w:numId w:val="3"/>
              </w:numPr>
              <w:spacing w:after="180"/>
              <w:ind w:leftChars="0"/>
              <w:rPr>
                <w:szCs w:val="20"/>
                <w:lang w:eastAsia="ko-KR"/>
              </w:rPr>
            </w:pPr>
            <w:r>
              <w:rPr>
                <w:szCs w:val="20"/>
                <w:lang w:eastAsia="ko-KR"/>
              </w:rPr>
              <w:t xml:space="preserve">No more than 4 values for the end symbol </w:t>
            </w:r>
          </w:p>
          <w:p w:rsidR="00AB48B4" w:rsidRDefault="00040AE3">
            <w:pPr>
              <w:pStyle w:val="3"/>
              <w:spacing w:after="180"/>
              <w:ind w:leftChars="0" w:left="0"/>
              <w:rPr>
                <w:sz w:val="18"/>
                <w:szCs w:val="18"/>
                <w:lang w:eastAsia="ko-KR"/>
              </w:rPr>
            </w:pPr>
            <w:r>
              <w:rPr>
                <w:sz w:val="18"/>
                <w:szCs w:val="18"/>
                <w:highlight w:val="green"/>
                <w:lang w:eastAsia="ko-KR"/>
              </w:rPr>
              <w:t>Agreements</w:t>
            </w:r>
            <w:r>
              <w:rPr>
                <w:sz w:val="18"/>
                <w:szCs w:val="18"/>
                <w:lang w:eastAsia="ko-KR"/>
              </w:rPr>
              <w:t>:</w:t>
            </w:r>
          </w:p>
          <w:p w:rsidR="00AB48B4" w:rsidRDefault="00040AE3">
            <w:pPr>
              <w:pStyle w:val="3"/>
              <w:numPr>
                <w:ilvl w:val="0"/>
                <w:numId w:val="3"/>
              </w:numPr>
              <w:spacing w:after="180"/>
              <w:ind w:leftChars="0"/>
              <w:rPr>
                <w:szCs w:val="20"/>
                <w:lang w:eastAsia="ko-KR"/>
              </w:rPr>
            </w:pPr>
            <w:r>
              <w:rPr>
                <w:szCs w:val="20"/>
                <w:lang w:eastAsia="ko-KR"/>
              </w:rPr>
              <w:t>For intra frequency measurements, SMTC window duration, timing offset and SMTC periodicity are signalled in either RMSI or OSI for IDLE mode, and RRC for CONNECTED mode</w:t>
            </w:r>
          </w:p>
          <w:p w:rsidR="00AB48B4" w:rsidRDefault="00040AE3">
            <w:pPr>
              <w:pStyle w:val="3"/>
              <w:numPr>
                <w:ilvl w:val="1"/>
                <w:numId w:val="3"/>
              </w:numPr>
              <w:spacing w:after="180"/>
              <w:ind w:leftChars="0"/>
              <w:rPr>
                <w:szCs w:val="20"/>
                <w:lang w:eastAsia="ko-KR"/>
              </w:rPr>
            </w:pPr>
            <w:r>
              <w:rPr>
                <w:szCs w:val="20"/>
                <w:lang w:eastAsia="ko-KR"/>
              </w:rPr>
              <w:t>For IDLE mode, RAN2 will decide the signalling container between RMSI and OSI</w:t>
            </w:r>
          </w:p>
          <w:p w:rsidR="00AB48B4" w:rsidRDefault="00040AE3">
            <w:pPr>
              <w:pStyle w:val="3"/>
              <w:numPr>
                <w:ilvl w:val="0"/>
                <w:numId w:val="3"/>
              </w:numPr>
              <w:spacing w:after="180"/>
              <w:ind w:leftChars="0"/>
              <w:rPr>
                <w:szCs w:val="20"/>
                <w:lang w:eastAsia="ko-KR"/>
              </w:rPr>
            </w:pPr>
            <w:r>
              <w:rPr>
                <w:szCs w:val="20"/>
                <w:lang w:eastAsia="ko-KR"/>
              </w:rPr>
              <w:t>For inter frequency measurements, SMTC window duration, timing offset and SMTC periodicity are signalled per frequency, in either RMSI or OSI by the serving cell for IDLE mode, and RRC for CONNECTED mode</w:t>
            </w:r>
          </w:p>
          <w:p w:rsidR="00AB48B4" w:rsidRDefault="00040AE3">
            <w:pPr>
              <w:pStyle w:val="3"/>
              <w:numPr>
                <w:ilvl w:val="1"/>
                <w:numId w:val="3"/>
              </w:numPr>
              <w:spacing w:after="180"/>
              <w:ind w:leftChars="0"/>
              <w:rPr>
                <w:szCs w:val="20"/>
                <w:lang w:eastAsia="ko-KR"/>
              </w:rPr>
            </w:pPr>
            <w:r>
              <w:rPr>
                <w:szCs w:val="20"/>
                <w:lang w:eastAsia="ko-KR"/>
              </w:rPr>
              <w:t>For IDLE mode, RAN2 will decide the signalling container between RMSI and OSI</w:t>
            </w:r>
          </w:p>
          <w:p w:rsidR="00AB48B4" w:rsidRDefault="00040AE3">
            <w:pPr>
              <w:pStyle w:val="3"/>
              <w:numPr>
                <w:ilvl w:val="0"/>
                <w:numId w:val="3"/>
              </w:numPr>
              <w:spacing w:after="180"/>
              <w:ind w:leftChars="0"/>
              <w:rPr>
                <w:szCs w:val="20"/>
                <w:lang w:eastAsia="ko-KR"/>
              </w:rPr>
            </w:pPr>
            <w:r>
              <w:rPr>
                <w:szCs w:val="20"/>
                <w:lang w:eastAsia="ko-KR"/>
              </w:rPr>
              <w:t>SMTC window duration:</w:t>
            </w:r>
          </w:p>
          <w:p w:rsidR="00AB48B4" w:rsidRDefault="00040AE3">
            <w:pPr>
              <w:pStyle w:val="3"/>
              <w:numPr>
                <w:ilvl w:val="1"/>
                <w:numId w:val="3"/>
              </w:numPr>
              <w:spacing w:after="180"/>
              <w:ind w:leftChars="0"/>
              <w:rPr>
                <w:szCs w:val="20"/>
                <w:lang w:eastAsia="ko-KR"/>
              </w:rPr>
            </w:pPr>
            <w:r>
              <w:rPr>
                <w:szCs w:val="20"/>
                <w:lang w:eastAsia="ko-KR"/>
              </w:rPr>
              <w:t>Both for inter-/intra- frequency measurements, the candidate values are {1,2,3,4,5} msec</w:t>
            </w:r>
          </w:p>
          <w:p w:rsidR="00AB48B4" w:rsidRDefault="00040AE3">
            <w:pPr>
              <w:pStyle w:val="3"/>
              <w:numPr>
                <w:ilvl w:val="0"/>
                <w:numId w:val="3"/>
              </w:numPr>
              <w:spacing w:after="180"/>
              <w:ind w:leftChars="0"/>
              <w:rPr>
                <w:szCs w:val="20"/>
                <w:lang w:eastAsia="ko-KR"/>
              </w:rPr>
            </w:pPr>
            <w:r>
              <w:rPr>
                <w:szCs w:val="20"/>
                <w:lang w:eastAsia="ko-KR"/>
              </w:rPr>
              <w:t>SMTC window timing offset:</w:t>
            </w:r>
          </w:p>
          <w:p w:rsidR="00AB48B4" w:rsidRDefault="00040AE3">
            <w:pPr>
              <w:pStyle w:val="3"/>
              <w:numPr>
                <w:ilvl w:val="1"/>
                <w:numId w:val="3"/>
              </w:numPr>
              <w:spacing w:after="180"/>
              <w:ind w:leftChars="0"/>
              <w:rPr>
                <w:szCs w:val="20"/>
                <w:highlight w:val="yellow"/>
                <w:lang w:eastAsia="ko-KR"/>
              </w:rPr>
            </w:pPr>
            <w:r>
              <w:rPr>
                <w:szCs w:val="20"/>
                <w:highlight w:val="yellow"/>
                <w:lang w:eastAsia="ko-KR"/>
              </w:rPr>
              <w:t>SMTC window timing reference for the timing offset is SFN#0 of the corresponding serving cell.</w:t>
            </w:r>
          </w:p>
          <w:p w:rsidR="00AB48B4" w:rsidRDefault="00040AE3">
            <w:pPr>
              <w:pStyle w:val="3"/>
              <w:numPr>
                <w:ilvl w:val="2"/>
                <w:numId w:val="3"/>
              </w:numPr>
              <w:spacing w:after="180"/>
              <w:ind w:leftChars="0"/>
              <w:rPr>
                <w:szCs w:val="20"/>
                <w:lang w:eastAsia="ko-KR"/>
              </w:rPr>
            </w:pPr>
            <w:r>
              <w:rPr>
                <w:szCs w:val="20"/>
                <w:lang w:eastAsia="ko-KR"/>
              </w:rPr>
              <w:t>Note: For IDLE mode, the serving cell here implies the cell UE is camped on.</w:t>
            </w:r>
          </w:p>
          <w:p w:rsidR="00AB48B4" w:rsidRDefault="00040AE3">
            <w:pPr>
              <w:pStyle w:val="3"/>
              <w:numPr>
                <w:ilvl w:val="1"/>
                <w:numId w:val="3"/>
              </w:numPr>
              <w:spacing w:after="180"/>
              <w:ind w:leftChars="0"/>
              <w:rPr>
                <w:rFonts w:eastAsia="MS Mincho"/>
                <w:szCs w:val="20"/>
                <w:lang w:eastAsia="ja-JP"/>
              </w:rPr>
            </w:pPr>
            <w:r>
              <w:rPr>
                <w:rFonts w:eastAsia="MS Mincho"/>
                <w:szCs w:val="20"/>
                <w:lang w:eastAsia="ja-JP"/>
              </w:rPr>
              <w:t>For intra-frequency measurements, the candidate values are {0, 1, …, SMTC periodicity -1} ms</w:t>
            </w:r>
          </w:p>
          <w:p w:rsidR="00AB48B4" w:rsidRDefault="00040AE3">
            <w:pPr>
              <w:pStyle w:val="3"/>
              <w:numPr>
                <w:ilvl w:val="1"/>
                <w:numId w:val="3"/>
              </w:numPr>
              <w:spacing w:after="180"/>
              <w:ind w:leftChars="0"/>
              <w:rPr>
                <w:rFonts w:eastAsia="MS Mincho"/>
                <w:szCs w:val="20"/>
                <w:lang w:eastAsia="ja-JP"/>
              </w:rPr>
            </w:pPr>
            <w:r>
              <w:rPr>
                <w:rFonts w:eastAsia="MS Mincho"/>
                <w:szCs w:val="20"/>
                <w:lang w:eastAsia="ja-JP"/>
              </w:rPr>
              <w:t>For inter-frequency measurements, the candidate values are {0, 1, …, SMTC periodicity -1} ms.</w:t>
            </w:r>
          </w:p>
          <w:p w:rsidR="00AB48B4" w:rsidRDefault="00040AE3">
            <w:pPr>
              <w:pStyle w:val="3"/>
              <w:numPr>
                <w:ilvl w:val="0"/>
                <w:numId w:val="3"/>
              </w:numPr>
              <w:spacing w:after="180"/>
              <w:ind w:leftChars="0"/>
              <w:rPr>
                <w:szCs w:val="20"/>
                <w:lang w:eastAsia="ko-KR"/>
              </w:rPr>
            </w:pPr>
            <w:r>
              <w:rPr>
                <w:szCs w:val="20"/>
                <w:lang w:eastAsia="ko-KR"/>
              </w:rPr>
              <w:t>SMTC periodicity:</w:t>
            </w:r>
          </w:p>
          <w:p w:rsidR="00AB48B4" w:rsidRDefault="00040AE3">
            <w:pPr>
              <w:pStyle w:val="3"/>
              <w:numPr>
                <w:ilvl w:val="1"/>
                <w:numId w:val="3"/>
              </w:numPr>
              <w:spacing w:after="180"/>
              <w:ind w:leftChars="0"/>
              <w:rPr>
                <w:szCs w:val="20"/>
                <w:lang w:eastAsia="ko-KR"/>
              </w:rPr>
            </w:pPr>
            <w:r>
              <w:rPr>
                <w:szCs w:val="20"/>
                <w:lang w:eastAsia="ko-KR"/>
              </w:rPr>
              <w:t>Both for inter-/intra-frequency measurements, the candidate values are {5, 10, 20, 40, 80, 160} msec</w:t>
            </w:r>
          </w:p>
          <w:p w:rsidR="00AB48B4" w:rsidRDefault="00AB48B4"/>
        </w:tc>
      </w:tr>
    </w:tbl>
    <w:p w:rsidR="00AB48B4" w:rsidRDefault="00AB48B4"/>
    <w:tbl>
      <w:tblPr>
        <w:tblStyle w:val="ac"/>
        <w:tblW w:w="9242" w:type="dxa"/>
        <w:tblLayout w:type="fixed"/>
        <w:tblLook w:val="04A0" w:firstRow="1" w:lastRow="0" w:firstColumn="1" w:lastColumn="0" w:noHBand="0" w:noVBand="1"/>
      </w:tblPr>
      <w:tblGrid>
        <w:gridCol w:w="9242"/>
      </w:tblGrid>
      <w:tr w:rsidR="00AB48B4">
        <w:tc>
          <w:tcPr>
            <w:tcW w:w="9242" w:type="dxa"/>
          </w:tcPr>
          <w:p w:rsidR="00AB48B4" w:rsidRDefault="00040AE3">
            <w:pPr>
              <w:rPr>
                <w:szCs w:val="20"/>
              </w:rPr>
            </w:pPr>
            <w:r>
              <w:rPr>
                <w:szCs w:val="20"/>
                <w:highlight w:val="green"/>
              </w:rPr>
              <w:t>Agreements</w:t>
            </w:r>
            <w:r>
              <w:rPr>
                <w:szCs w:val="20"/>
              </w:rPr>
              <w:t>:</w:t>
            </w:r>
            <w:r>
              <w:rPr>
                <w:rFonts w:hint="eastAsia"/>
                <w:szCs w:val="20"/>
              </w:rPr>
              <w:t>(RAN1 #92b)</w:t>
            </w:r>
          </w:p>
          <w:p w:rsidR="00AB48B4" w:rsidRDefault="00040AE3">
            <w:pPr>
              <w:pStyle w:val="Style4"/>
              <w:numPr>
                <w:ilvl w:val="0"/>
                <w:numId w:val="4"/>
              </w:numPr>
              <w:ind w:leftChars="0"/>
              <w:rPr>
                <w:rFonts w:eastAsia="Times New Roman"/>
                <w:szCs w:val="20"/>
                <w:lang w:eastAsia="ko-KR"/>
              </w:rPr>
            </w:pPr>
            <w:r>
              <w:rPr>
                <w:rFonts w:eastAsia="Times New Roman"/>
                <w:szCs w:val="20"/>
                <w:lang w:eastAsia="ko-KR"/>
              </w:rPr>
              <w:t>For intra-frequency measurements, SS-RSSI configured by higher layers is measured with timing reference from serving cell in the frequency layer.</w:t>
            </w:r>
          </w:p>
          <w:p w:rsidR="00AB48B4" w:rsidRDefault="00040AE3">
            <w:pPr>
              <w:numPr>
                <w:ilvl w:val="0"/>
                <w:numId w:val="4"/>
              </w:numPr>
              <w:rPr>
                <w:szCs w:val="20"/>
                <w:highlight w:val="yellow"/>
              </w:rPr>
            </w:pPr>
            <w:r>
              <w:rPr>
                <w:rFonts w:eastAsia="Times New Roman"/>
                <w:szCs w:val="20"/>
                <w:highlight w:val="yellow"/>
                <w:lang w:eastAsia="ko-KR"/>
              </w:rPr>
              <w:t>For inter-frequency measurements, SS-RSSI configured by higher layers is measured with timing reference from any one of the cells in the target frequency layer</w:t>
            </w:r>
          </w:p>
          <w:p w:rsidR="00AB48B4" w:rsidRDefault="00AB48B4"/>
        </w:tc>
      </w:tr>
    </w:tbl>
    <w:p w:rsidR="00AB48B4" w:rsidRDefault="00AB48B4"/>
    <w:sectPr w:rsidR="00AB48B4">
      <w:headerReference w:type="default" r:id="rId21"/>
      <w:footerReference w:type="even" r:id="rId22"/>
      <w:footerReference w:type="default" r:id="rId23"/>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CF9" w:rsidRDefault="00040AE3">
      <w:pPr>
        <w:spacing w:line="240" w:lineRule="auto"/>
      </w:pPr>
      <w:r>
        <w:separator/>
      </w:r>
    </w:p>
  </w:endnote>
  <w:endnote w:type="continuationSeparator" w:id="0">
    <w:p w:rsidR="00856CF9" w:rsidRDefault="00040A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8B4" w:rsidRDefault="00040AE3">
    <w:pPr>
      <w:pStyle w:val="a7"/>
      <w:framePr w:wrap="around" w:vAnchor="text" w:hAnchor="margin" w:xAlign="right" w:y="1"/>
      <w:rPr>
        <w:rStyle w:val="aa"/>
      </w:rPr>
    </w:pPr>
    <w:r>
      <w:fldChar w:fldCharType="begin"/>
    </w:r>
    <w:r>
      <w:rPr>
        <w:rStyle w:val="aa"/>
      </w:rPr>
      <w:instrText xml:space="preserve">PAGE  </w:instrText>
    </w:r>
    <w:r>
      <w:fldChar w:fldCharType="end"/>
    </w:r>
  </w:p>
  <w:p w:rsidR="00AB48B4" w:rsidRDefault="00AB48B4">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8B4" w:rsidRDefault="00040AE3">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CF9" w:rsidRDefault="00040AE3">
      <w:pPr>
        <w:spacing w:line="240" w:lineRule="auto"/>
      </w:pPr>
      <w:r>
        <w:separator/>
      </w:r>
    </w:p>
  </w:footnote>
  <w:footnote w:type="continuationSeparator" w:id="0">
    <w:p w:rsidR="00856CF9" w:rsidRDefault="00040A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48B4" w:rsidRDefault="00AB48B4">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32156"/>
    <w:multiLevelType w:val="multilevel"/>
    <w:tmpl w:val="1123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56C78E2"/>
    <w:multiLevelType w:val="multilevel"/>
    <w:tmpl w:val="156C78E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3" w15:restartNumberingAfterBreak="0">
    <w:nsid w:val="389F673E"/>
    <w:multiLevelType w:val="multilevel"/>
    <w:tmpl w:val="389F67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F2506"/>
    <w:rsid w:val="00040AE3"/>
    <w:rsid w:val="000423F3"/>
    <w:rsid w:val="00055513"/>
    <w:rsid w:val="000634A0"/>
    <w:rsid w:val="00086B7C"/>
    <w:rsid w:val="000941B9"/>
    <w:rsid w:val="000A15EE"/>
    <w:rsid w:val="00147B32"/>
    <w:rsid w:val="002011B2"/>
    <w:rsid w:val="00213BC9"/>
    <w:rsid w:val="002302C4"/>
    <w:rsid w:val="00255D5D"/>
    <w:rsid w:val="002B673D"/>
    <w:rsid w:val="002C227A"/>
    <w:rsid w:val="002E4E7D"/>
    <w:rsid w:val="002F3D88"/>
    <w:rsid w:val="003163AC"/>
    <w:rsid w:val="00384041"/>
    <w:rsid w:val="0038540C"/>
    <w:rsid w:val="003A4C52"/>
    <w:rsid w:val="003B6321"/>
    <w:rsid w:val="003D572D"/>
    <w:rsid w:val="003D66D5"/>
    <w:rsid w:val="003D7F19"/>
    <w:rsid w:val="003E1106"/>
    <w:rsid w:val="00405A98"/>
    <w:rsid w:val="004214E2"/>
    <w:rsid w:val="00447867"/>
    <w:rsid w:val="00455FFA"/>
    <w:rsid w:val="004649B8"/>
    <w:rsid w:val="004836CE"/>
    <w:rsid w:val="00484F5F"/>
    <w:rsid w:val="004864FF"/>
    <w:rsid w:val="00490C5D"/>
    <w:rsid w:val="00491565"/>
    <w:rsid w:val="004F534A"/>
    <w:rsid w:val="005227EF"/>
    <w:rsid w:val="00567880"/>
    <w:rsid w:val="00584364"/>
    <w:rsid w:val="00592C86"/>
    <w:rsid w:val="005A55F3"/>
    <w:rsid w:val="005C0A03"/>
    <w:rsid w:val="005C2573"/>
    <w:rsid w:val="00654DD4"/>
    <w:rsid w:val="00657786"/>
    <w:rsid w:val="00657CE6"/>
    <w:rsid w:val="006757CE"/>
    <w:rsid w:val="00693CEA"/>
    <w:rsid w:val="006B12BF"/>
    <w:rsid w:val="007401EB"/>
    <w:rsid w:val="00763977"/>
    <w:rsid w:val="00767949"/>
    <w:rsid w:val="007709FF"/>
    <w:rsid w:val="007A111B"/>
    <w:rsid w:val="007C6C3C"/>
    <w:rsid w:val="007F5900"/>
    <w:rsid w:val="00820D72"/>
    <w:rsid w:val="008334E6"/>
    <w:rsid w:val="008434F5"/>
    <w:rsid w:val="00851A26"/>
    <w:rsid w:val="00856CF9"/>
    <w:rsid w:val="00887D85"/>
    <w:rsid w:val="008951DF"/>
    <w:rsid w:val="008A2682"/>
    <w:rsid w:val="008B2B31"/>
    <w:rsid w:val="008B5A88"/>
    <w:rsid w:val="008C61BC"/>
    <w:rsid w:val="009227C7"/>
    <w:rsid w:val="00930B0D"/>
    <w:rsid w:val="00977F66"/>
    <w:rsid w:val="00997278"/>
    <w:rsid w:val="009A3168"/>
    <w:rsid w:val="009A433A"/>
    <w:rsid w:val="009B0D42"/>
    <w:rsid w:val="009D70A5"/>
    <w:rsid w:val="009E0E78"/>
    <w:rsid w:val="009E1517"/>
    <w:rsid w:val="009E31CA"/>
    <w:rsid w:val="00A25FF1"/>
    <w:rsid w:val="00A3282C"/>
    <w:rsid w:val="00A66FD0"/>
    <w:rsid w:val="00A70A8A"/>
    <w:rsid w:val="00A90F4E"/>
    <w:rsid w:val="00AB48B4"/>
    <w:rsid w:val="00AF1B66"/>
    <w:rsid w:val="00B0175B"/>
    <w:rsid w:val="00B3338E"/>
    <w:rsid w:val="00B35707"/>
    <w:rsid w:val="00B85AC8"/>
    <w:rsid w:val="00B95AF4"/>
    <w:rsid w:val="00BD38F2"/>
    <w:rsid w:val="00BF2506"/>
    <w:rsid w:val="00C139E7"/>
    <w:rsid w:val="00C416B0"/>
    <w:rsid w:val="00C66C5A"/>
    <w:rsid w:val="00C7085B"/>
    <w:rsid w:val="00C85864"/>
    <w:rsid w:val="00CF6D7E"/>
    <w:rsid w:val="00D4639E"/>
    <w:rsid w:val="00D76B57"/>
    <w:rsid w:val="00D84F0E"/>
    <w:rsid w:val="00D96FF8"/>
    <w:rsid w:val="00DB62C6"/>
    <w:rsid w:val="00E15C02"/>
    <w:rsid w:val="00E24F46"/>
    <w:rsid w:val="00E54F09"/>
    <w:rsid w:val="00E66664"/>
    <w:rsid w:val="00E85758"/>
    <w:rsid w:val="00E94472"/>
    <w:rsid w:val="00E953A3"/>
    <w:rsid w:val="00EA007B"/>
    <w:rsid w:val="00EB2770"/>
    <w:rsid w:val="00EB2B65"/>
    <w:rsid w:val="00ED2C07"/>
    <w:rsid w:val="00EE5427"/>
    <w:rsid w:val="00F429E0"/>
    <w:rsid w:val="00F726CD"/>
    <w:rsid w:val="00FF2167"/>
    <w:rsid w:val="033F1CE0"/>
    <w:rsid w:val="036D4901"/>
    <w:rsid w:val="04241E25"/>
    <w:rsid w:val="04513D5D"/>
    <w:rsid w:val="04AE7DB4"/>
    <w:rsid w:val="04B8516A"/>
    <w:rsid w:val="05A87EE6"/>
    <w:rsid w:val="077F3A70"/>
    <w:rsid w:val="0B16565D"/>
    <w:rsid w:val="0C3261E4"/>
    <w:rsid w:val="0CBB51C6"/>
    <w:rsid w:val="0FBB33E8"/>
    <w:rsid w:val="10856A34"/>
    <w:rsid w:val="127E321B"/>
    <w:rsid w:val="137163FB"/>
    <w:rsid w:val="15FB2E5F"/>
    <w:rsid w:val="169E123C"/>
    <w:rsid w:val="17A64452"/>
    <w:rsid w:val="1823280B"/>
    <w:rsid w:val="1B0B4091"/>
    <w:rsid w:val="1BA76986"/>
    <w:rsid w:val="1C701DCF"/>
    <w:rsid w:val="209E70F2"/>
    <w:rsid w:val="21753B79"/>
    <w:rsid w:val="21D47BD2"/>
    <w:rsid w:val="22720E71"/>
    <w:rsid w:val="24133555"/>
    <w:rsid w:val="24511954"/>
    <w:rsid w:val="27237556"/>
    <w:rsid w:val="2961326D"/>
    <w:rsid w:val="2BE47D99"/>
    <w:rsid w:val="2BE64936"/>
    <w:rsid w:val="2CA17AFD"/>
    <w:rsid w:val="2D1501C8"/>
    <w:rsid w:val="2DB91B1B"/>
    <w:rsid w:val="2DE57538"/>
    <w:rsid w:val="2E2774F3"/>
    <w:rsid w:val="2EBB3E8E"/>
    <w:rsid w:val="2F0F66CB"/>
    <w:rsid w:val="2FAA7008"/>
    <w:rsid w:val="301A45CB"/>
    <w:rsid w:val="32213C6E"/>
    <w:rsid w:val="33070B6F"/>
    <w:rsid w:val="33E03CFB"/>
    <w:rsid w:val="33EE30C3"/>
    <w:rsid w:val="358B445B"/>
    <w:rsid w:val="36E32288"/>
    <w:rsid w:val="372E2E2E"/>
    <w:rsid w:val="3C901943"/>
    <w:rsid w:val="3CAB3AFE"/>
    <w:rsid w:val="3FD85E23"/>
    <w:rsid w:val="42134E28"/>
    <w:rsid w:val="42C310F4"/>
    <w:rsid w:val="432B13A1"/>
    <w:rsid w:val="43AC2E50"/>
    <w:rsid w:val="45AA37EF"/>
    <w:rsid w:val="46260526"/>
    <w:rsid w:val="47043622"/>
    <w:rsid w:val="470E18BD"/>
    <w:rsid w:val="475E315E"/>
    <w:rsid w:val="47776BE6"/>
    <w:rsid w:val="47FD59B9"/>
    <w:rsid w:val="4B361573"/>
    <w:rsid w:val="4C4B623C"/>
    <w:rsid w:val="4CC86A85"/>
    <w:rsid w:val="4F537376"/>
    <w:rsid w:val="4FE50545"/>
    <w:rsid w:val="50E82299"/>
    <w:rsid w:val="518A45EE"/>
    <w:rsid w:val="51BE0346"/>
    <w:rsid w:val="522E2B7E"/>
    <w:rsid w:val="528D5E25"/>
    <w:rsid w:val="53310B76"/>
    <w:rsid w:val="54A70EDF"/>
    <w:rsid w:val="54FB1C7B"/>
    <w:rsid w:val="5919085F"/>
    <w:rsid w:val="5AA309A5"/>
    <w:rsid w:val="5C347EB7"/>
    <w:rsid w:val="5CAF0737"/>
    <w:rsid w:val="5CCA2604"/>
    <w:rsid w:val="609E1F6D"/>
    <w:rsid w:val="60EC7E34"/>
    <w:rsid w:val="60F86588"/>
    <w:rsid w:val="610E751A"/>
    <w:rsid w:val="618738C4"/>
    <w:rsid w:val="62100AA6"/>
    <w:rsid w:val="62104607"/>
    <w:rsid w:val="66AB08C9"/>
    <w:rsid w:val="66DB2329"/>
    <w:rsid w:val="66E8264C"/>
    <w:rsid w:val="66F943E3"/>
    <w:rsid w:val="67072E0D"/>
    <w:rsid w:val="682A3765"/>
    <w:rsid w:val="68D1095B"/>
    <w:rsid w:val="694F264B"/>
    <w:rsid w:val="69B779C6"/>
    <w:rsid w:val="6A9F32EC"/>
    <w:rsid w:val="6D471048"/>
    <w:rsid w:val="71D2623A"/>
    <w:rsid w:val="72401C71"/>
    <w:rsid w:val="72F40E3D"/>
    <w:rsid w:val="766775EF"/>
    <w:rsid w:val="778778D9"/>
    <w:rsid w:val="7A28673C"/>
    <w:rsid w:val="7BCB5A12"/>
    <w:rsid w:val="7BF61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D34FCA79-6C57-496F-9ADC-2D97C371F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pacing w:line="300" w:lineRule="auto"/>
    </w:pPr>
    <w:rPr>
      <w:rFonts w:eastAsia="宋体"/>
      <w:sz w:val="21"/>
      <w:szCs w:val="22"/>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sz w:val="36"/>
      <w:szCs w:val="22"/>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djustRightInd/>
      <w:spacing w:before="120" w:after="120" w:line="240" w:lineRule="auto"/>
    </w:pPr>
    <w:rPr>
      <w:b/>
      <w:szCs w:val="20"/>
      <w:lang w:val="en-GB" w:eastAsia="en-US"/>
    </w:rPr>
  </w:style>
  <w:style w:type="paragraph" w:styleId="a4">
    <w:name w:val="Document Map"/>
    <w:basedOn w:val="a"/>
    <w:link w:val="Char"/>
    <w:uiPriority w:val="99"/>
    <w:unhideWhenUsed/>
    <w:qFormat/>
    <w:rPr>
      <w:rFonts w:ascii="宋体"/>
      <w:sz w:val="18"/>
      <w:szCs w:val="18"/>
    </w:rPr>
  </w:style>
  <w:style w:type="paragraph" w:styleId="a5">
    <w:name w:val="annotation text"/>
    <w:basedOn w:val="a"/>
    <w:uiPriority w:val="99"/>
    <w:unhideWhenUsed/>
    <w:qFormat/>
  </w:style>
  <w:style w:type="paragraph" w:styleId="a6">
    <w:name w:val="Balloon Text"/>
    <w:basedOn w:val="a"/>
    <w:link w:val="Char0"/>
    <w:uiPriority w:val="99"/>
    <w:unhideWhenUsed/>
    <w:qFormat/>
    <w:pPr>
      <w:spacing w:line="240" w:lineRule="auto"/>
    </w:pPr>
    <w:rPr>
      <w:sz w:val="18"/>
      <w:szCs w:val="18"/>
    </w:rPr>
  </w:style>
  <w:style w:type="paragraph" w:styleId="a7">
    <w:name w:val="footer"/>
    <w:basedOn w:val="a"/>
    <w:link w:val="Char1"/>
    <w:unhideWhenUsed/>
    <w:qFormat/>
    <w:pPr>
      <w:tabs>
        <w:tab w:val="center" w:pos="4153"/>
        <w:tab w:val="right" w:pos="8306"/>
      </w:tabs>
      <w:snapToGrid w:val="0"/>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unhideWhenUsed/>
    <w:qFormat/>
    <w:pPr>
      <w:ind w:left="200" w:hangingChars="200" w:hanging="200"/>
      <w:contextualSpacing/>
    </w:pPr>
  </w:style>
  <w:style w:type="character" w:styleId="aa">
    <w:name w:val="page number"/>
    <w:basedOn w:val="a0"/>
    <w:qFormat/>
  </w:style>
  <w:style w:type="character" w:styleId="ab">
    <w:name w:val="annotation reference"/>
    <w:qFormat/>
    <w:rPr>
      <w:sz w:val="16"/>
      <w:szCs w:val="16"/>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8"/>
    <w:uiPriority w:val="99"/>
    <w:semiHidden/>
    <w:qFormat/>
    <w:rPr>
      <w:sz w:val="18"/>
      <w:szCs w:val="18"/>
    </w:rPr>
  </w:style>
  <w:style w:type="character" w:customStyle="1" w:styleId="Char1">
    <w:name w:val="页脚 Char"/>
    <w:basedOn w:val="a0"/>
    <w:link w:val="a7"/>
    <w:uiPriority w:val="99"/>
    <w:semiHidden/>
    <w:qFormat/>
    <w:rPr>
      <w:sz w:val="18"/>
      <w:szCs w:val="18"/>
    </w:rPr>
  </w:style>
  <w:style w:type="character" w:customStyle="1" w:styleId="1Char">
    <w:name w:val="标题 1 Char"/>
    <w:basedOn w:val="a0"/>
    <w:link w:val="1"/>
    <w:qFormat/>
    <w:rPr>
      <w:rFonts w:ascii="Arial" w:eastAsia="宋体" w:hAnsi="Arial" w:cs="Times New Roman"/>
      <w:kern w:val="0"/>
      <w:sz w:val="36"/>
      <w:lang w:val="en-GB" w:eastAsia="en-US"/>
    </w:rPr>
  </w:style>
  <w:style w:type="character" w:customStyle="1" w:styleId="2Char">
    <w:name w:val="标题 2 Char"/>
    <w:basedOn w:val="a0"/>
    <w:link w:val="2"/>
    <w:qFormat/>
    <w:rPr>
      <w:rFonts w:ascii="Arial" w:eastAsia="宋体" w:hAnsi="Arial" w:cs="Times New Roman"/>
      <w:kern w:val="0"/>
      <w:sz w:val="28"/>
      <w:lang w:val="en-GB" w:eastAsia="en-US"/>
    </w:rPr>
  </w:style>
  <w:style w:type="paragraph" w:customStyle="1" w:styleId="B1">
    <w:name w:val="B1"/>
    <w:basedOn w:val="a9"/>
    <w:qFormat/>
    <w:pPr>
      <w:ind w:left="568" w:firstLineChars="0" w:hanging="284"/>
      <w:contextualSpacing w:val="0"/>
    </w:pPr>
  </w:style>
  <w:style w:type="paragraph" w:customStyle="1" w:styleId="EQ">
    <w:name w:val="EQ"/>
    <w:basedOn w:val="a"/>
    <w:next w:val="a"/>
    <w:qFormat/>
    <w:pPr>
      <w:keepLines/>
      <w:tabs>
        <w:tab w:val="center" w:pos="4536"/>
        <w:tab w:val="right" w:pos="9072"/>
      </w:tabs>
    </w:pPr>
  </w:style>
  <w:style w:type="paragraph" w:customStyle="1" w:styleId="10">
    <w:name w:val="列出段落1"/>
    <w:basedOn w:val="a"/>
    <w:uiPriority w:val="99"/>
    <w:unhideWhenUsed/>
    <w:qFormat/>
    <w:pPr>
      <w:ind w:firstLineChars="200" w:firstLine="420"/>
    </w:pPr>
  </w:style>
  <w:style w:type="character" w:customStyle="1" w:styleId="Char">
    <w:name w:val="文档结构图 Char"/>
    <w:basedOn w:val="a0"/>
    <w:link w:val="a4"/>
    <w:uiPriority w:val="99"/>
    <w:semiHidden/>
    <w:qFormat/>
    <w:rPr>
      <w:rFonts w:ascii="宋体" w:eastAsia="宋体" w:hAnsi="Times New Roman" w:cs="Times New Roman"/>
      <w:kern w:val="0"/>
      <w:sz w:val="18"/>
      <w:szCs w:val="18"/>
    </w:rPr>
  </w:style>
  <w:style w:type="character" w:customStyle="1" w:styleId="Char0">
    <w:name w:val="批注框文本 Char"/>
    <w:basedOn w:val="a0"/>
    <w:link w:val="a6"/>
    <w:uiPriority w:val="99"/>
    <w:semiHidden/>
    <w:qFormat/>
    <w:rPr>
      <w:rFonts w:ascii="Times New Roman" w:eastAsia="宋体" w:hAnsi="Times New Roman" w:cs="Times New Roman"/>
      <w:kern w:val="0"/>
      <w:sz w:val="18"/>
      <w:szCs w:val="18"/>
    </w:rPr>
  </w:style>
  <w:style w:type="character" w:customStyle="1" w:styleId="11">
    <w:name w:val="占位符文本1"/>
    <w:basedOn w:val="a0"/>
    <w:uiPriority w:val="99"/>
    <w:semiHidden/>
    <w:qFormat/>
    <w:rPr>
      <w:color w:val="808080"/>
    </w:rPr>
  </w:style>
  <w:style w:type="paragraph" w:customStyle="1" w:styleId="20">
    <w:name w:val="列出段落2"/>
    <w:basedOn w:val="a"/>
    <w:uiPriority w:val="99"/>
    <w:unhideWhenUsed/>
    <w:qFormat/>
    <w:pPr>
      <w:ind w:firstLineChars="200" w:firstLine="420"/>
    </w:pPr>
  </w:style>
  <w:style w:type="paragraph" w:customStyle="1" w:styleId="110">
    <w:name w:val="列出段落11"/>
    <w:basedOn w:val="a"/>
    <w:uiPriority w:val="34"/>
    <w:qFormat/>
    <w:pPr>
      <w:ind w:firstLineChars="200" w:firstLine="420"/>
    </w:pPr>
  </w:style>
  <w:style w:type="paragraph" w:customStyle="1" w:styleId="YJ--">
    <w:name w:val="YJ--正文"/>
    <w:basedOn w:val="a"/>
    <w:qFormat/>
    <w:pPr>
      <w:spacing w:before="156" w:after="156"/>
      <w:ind w:firstLineChars="200" w:firstLine="602"/>
    </w:pPr>
    <w:rPr>
      <w:rFonts w:cs="宋体"/>
      <w:szCs w:val="20"/>
    </w:rPr>
  </w:style>
  <w:style w:type="paragraph" w:customStyle="1" w:styleId="3">
    <w:name w:val="列出段落3"/>
    <w:basedOn w:val="a"/>
    <w:uiPriority w:val="34"/>
    <w:qFormat/>
    <w:pPr>
      <w:ind w:leftChars="400" w:left="840"/>
    </w:pPr>
  </w:style>
  <w:style w:type="paragraph" w:customStyle="1" w:styleId="Style4">
    <w:name w:val="_Style 4"/>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1626</Words>
  <Characters>9271</Characters>
  <Application>Microsoft Office Word</Application>
  <DocSecurity>0</DocSecurity>
  <Lines>77</Lines>
  <Paragraphs>21</Paragraphs>
  <ScaleCrop>false</ScaleCrop>
  <Company>Microsoft</Company>
  <LinksUpToDate>false</LinksUpToDate>
  <CharactersWithSpaces>10876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张峻峰10005275</cp:lastModifiedBy>
  <cp:revision>6</cp:revision>
  <dcterms:created xsi:type="dcterms:W3CDTF">2018-09-27T07:58:00Z</dcterms:created>
  <dcterms:modified xsi:type="dcterms:W3CDTF">2018-09-28T08:54:00Z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